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79E39" w14:textId="242ACB95" w:rsidR="00A22911" w:rsidRPr="00CA504F" w:rsidRDefault="00A22911" w:rsidP="00A22911">
      <w:pPr>
        <w:spacing w:after="0"/>
        <w:jc w:val="center"/>
        <w:rPr>
          <w:rFonts w:ascii="Times New Roman" w:hAnsi="Times New Roman"/>
          <w:b/>
          <w:bCs/>
          <w:sz w:val="28"/>
          <w:szCs w:val="28"/>
        </w:rPr>
      </w:pPr>
      <w:bookmarkStart w:id="0" w:name="_GoBack"/>
      <w:bookmarkEnd w:id="0"/>
      <w:r w:rsidRPr="00CA504F">
        <w:rPr>
          <w:rFonts w:ascii="Times New Roman" w:hAnsi="Times New Roman"/>
          <w:b/>
          <w:bCs/>
          <w:sz w:val="28"/>
          <w:szCs w:val="28"/>
        </w:rPr>
        <w:t>BÁO CÁO</w:t>
      </w:r>
    </w:p>
    <w:p w14:paraId="1EAFAC00" w14:textId="77777777" w:rsidR="00BC2BD4" w:rsidRPr="00CA504F" w:rsidRDefault="00A22911" w:rsidP="00C95051">
      <w:pPr>
        <w:spacing w:after="0"/>
        <w:jc w:val="center"/>
        <w:rPr>
          <w:rFonts w:ascii="Times New Roman" w:hAnsi="Times New Roman"/>
          <w:b/>
          <w:bCs/>
          <w:sz w:val="28"/>
          <w:szCs w:val="28"/>
        </w:rPr>
      </w:pPr>
      <w:r w:rsidRPr="00CA504F">
        <w:rPr>
          <w:rFonts w:ascii="Times New Roman" w:hAnsi="Times New Roman"/>
          <w:b/>
          <w:bCs/>
          <w:sz w:val="28"/>
          <w:szCs w:val="28"/>
        </w:rPr>
        <w:t xml:space="preserve">Tổng kết việc triển khai thực hiện Nghị quyết số 93/2015/QH13 </w:t>
      </w:r>
    </w:p>
    <w:p w14:paraId="3A317CC6" w14:textId="77777777" w:rsidR="00BC2BD4" w:rsidRPr="00CA504F" w:rsidRDefault="00A22911" w:rsidP="00C95051">
      <w:pPr>
        <w:spacing w:after="0"/>
        <w:jc w:val="center"/>
        <w:rPr>
          <w:rFonts w:ascii="Times New Roman" w:hAnsi="Times New Roman"/>
          <w:b/>
          <w:bCs/>
          <w:sz w:val="28"/>
          <w:szCs w:val="28"/>
        </w:rPr>
      </w:pPr>
      <w:r w:rsidRPr="00CA504F">
        <w:rPr>
          <w:rFonts w:ascii="Times New Roman" w:hAnsi="Times New Roman"/>
          <w:b/>
          <w:bCs/>
          <w:sz w:val="28"/>
          <w:szCs w:val="28"/>
        </w:rPr>
        <w:t>ngày 22/6/2015 của Quốc hội khóa 13 về việc thực hiện chính sách hưởng</w:t>
      </w:r>
    </w:p>
    <w:p w14:paraId="6AC99F28" w14:textId="178C8DBA" w:rsidR="00635EC5" w:rsidRPr="00CA504F" w:rsidRDefault="00A22911" w:rsidP="00C95051">
      <w:pPr>
        <w:spacing w:after="0"/>
        <w:jc w:val="center"/>
        <w:rPr>
          <w:rFonts w:ascii="Times New Roman" w:hAnsi="Times New Roman"/>
          <w:b/>
          <w:bCs/>
          <w:sz w:val="28"/>
          <w:szCs w:val="28"/>
        </w:rPr>
      </w:pPr>
      <w:r w:rsidRPr="00CA504F">
        <w:rPr>
          <w:rFonts w:ascii="Times New Roman" w:hAnsi="Times New Roman"/>
          <w:b/>
          <w:bCs/>
          <w:sz w:val="28"/>
          <w:szCs w:val="28"/>
        </w:rPr>
        <w:t xml:space="preserve"> bảo hiểm xã hội một lần đối với người lao động</w:t>
      </w:r>
    </w:p>
    <w:p w14:paraId="0902E869" w14:textId="5AF0E500" w:rsidR="007F56D9" w:rsidRPr="00CA504F" w:rsidRDefault="007F56D9" w:rsidP="00C95051">
      <w:pPr>
        <w:spacing w:after="0"/>
        <w:jc w:val="center"/>
        <w:rPr>
          <w:rFonts w:ascii="Times New Roman" w:hAnsi="Times New Roman"/>
          <w:b/>
          <w:bCs/>
          <w:sz w:val="28"/>
          <w:szCs w:val="28"/>
        </w:rPr>
      </w:pPr>
      <w:r w:rsidRPr="00CA504F">
        <w:rPr>
          <w:rFonts w:ascii="Times New Roman" w:hAnsi="Times New Roman"/>
          <w:b/>
          <w:bCs/>
          <w:noProof/>
          <w:sz w:val="28"/>
          <w:szCs w:val="28"/>
        </w:rPr>
        <mc:AlternateContent>
          <mc:Choice Requires="wps">
            <w:drawing>
              <wp:anchor distT="0" distB="0" distL="114300" distR="114300" simplePos="0" relativeHeight="251659264" behindDoc="0" locked="0" layoutInCell="1" allowOverlap="1" wp14:anchorId="077DB618" wp14:editId="0EA753CC">
                <wp:simplePos x="0" y="0"/>
                <wp:positionH relativeFrom="column">
                  <wp:posOffset>2417775</wp:posOffset>
                </wp:positionH>
                <wp:positionV relativeFrom="paragraph">
                  <wp:posOffset>34925</wp:posOffset>
                </wp:positionV>
                <wp:extent cx="16002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D1EFEE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0.4pt,2.75pt" to="316.4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" strokecolor="black [3200]" strokeweight=".5pt">
                <v:stroke joinstyle="miter"/>
              </v:line>
            </w:pict>
          </mc:Fallback>
        </mc:AlternateContent>
      </w:r>
    </w:p>
    <w:p w14:paraId="158E2565" w14:textId="1FA61D50" w:rsidR="00635EC5" w:rsidRPr="00CA504F" w:rsidRDefault="00C95051" w:rsidP="00635EC5">
      <w:pPr>
        <w:spacing w:before="120" w:after="0" w:line="300" w:lineRule="auto"/>
        <w:jc w:val="both"/>
        <w:rPr>
          <w:rFonts w:ascii="Times New Roman" w:hAnsi="Times New Roman"/>
          <w:bCs/>
          <w:sz w:val="28"/>
          <w:szCs w:val="28"/>
        </w:rPr>
      </w:pPr>
      <w:r w:rsidRPr="00CA504F">
        <w:rPr>
          <w:rFonts w:ascii="Times New Roman" w:hAnsi="Times New Roman"/>
          <w:bCs/>
          <w:sz w:val="28"/>
          <w:szCs w:val="28"/>
        </w:rPr>
        <w:tab/>
      </w:r>
    </w:p>
    <w:p w14:paraId="668E10AE" w14:textId="10C3D8A9" w:rsidR="00C95051" w:rsidRPr="00CA504F" w:rsidRDefault="00C95051" w:rsidP="00BC202A">
      <w:pPr>
        <w:spacing w:before="120" w:after="0"/>
        <w:ind w:firstLine="720"/>
        <w:jc w:val="both"/>
        <w:rPr>
          <w:rFonts w:ascii="Times New Roman" w:hAnsi="Times New Roman"/>
          <w:bCs/>
          <w:spacing w:val="-4"/>
          <w:sz w:val="28"/>
          <w:szCs w:val="28"/>
        </w:rPr>
      </w:pPr>
      <w:r w:rsidRPr="00CA504F">
        <w:rPr>
          <w:rFonts w:ascii="Times New Roman" w:hAnsi="Times New Roman"/>
          <w:bCs/>
          <w:spacing w:val="-4"/>
          <w:sz w:val="28"/>
          <w:szCs w:val="28"/>
        </w:rPr>
        <w:t>Thực hiện nhiệm vụ được giao tại Nghị</w:t>
      </w:r>
      <w:r w:rsidR="00304F9A" w:rsidRPr="00CA504F">
        <w:rPr>
          <w:rFonts w:ascii="Times New Roman" w:hAnsi="Times New Roman"/>
          <w:bCs/>
          <w:spacing w:val="-4"/>
          <w:sz w:val="28"/>
          <w:szCs w:val="28"/>
        </w:rPr>
        <w:t xml:space="preserve"> </w:t>
      </w:r>
      <w:r w:rsidRPr="00CA504F">
        <w:rPr>
          <w:rFonts w:ascii="Times New Roman" w:hAnsi="Times New Roman"/>
          <w:bCs/>
          <w:spacing w:val="-4"/>
          <w:sz w:val="28"/>
          <w:szCs w:val="28"/>
        </w:rPr>
        <w:t xml:space="preserve"> quyết số 125/NQ-CP ngày 08 tháng 10 năm 2018 của Chính phủ ban hành Chương trình hành động của Chính phủ thực hiện Nghị quyết số 28-NQ/TW ngày 23 tháng 5 năm 2018 của Hội nghị lần thứ bảy Ban Chấp hành Trung ương khóa XII về cải cách chính sách bảo hiểm xã hội</w:t>
      </w:r>
      <w:r w:rsidR="00EA685C" w:rsidRPr="00CA504F">
        <w:rPr>
          <w:rFonts w:ascii="Times New Roman" w:hAnsi="Times New Roman"/>
          <w:bCs/>
          <w:spacing w:val="-4"/>
          <w:sz w:val="28"/>
          <w:szCs w:val="28"/>
        </w:rPr>
        <w:t>, Nghị  quyết số 152/NQ-CP ngày 03 tháng 12 năm 2021 của Chính phủ</w:t>
      </w:r>
      <w:r w:rsidRPr="00CA504F">
        <w:rPr>
          <w:rFonts w:ascii="Times New Roman" w:hAnsi="Times New Roman"/>
          <w:bCs/>
          <w:spacing w:val="-4"/>
          <w:sz w:val="28"/>
          <w:szCs w:val="28"/>
        </w:rPr>
        <w:t xml:space="preserve"> </w:t>
      </w:r>
      <w:r w:rsidR="00EA685C" w:rsidRPr="00CA504F">
        <w:rPr>
          <w:rFonts w:ascii="Times New Roman" w:hAnsi="Times New Roman"/>
          <w:bCs/>
          <w:spacing w:val="-4"/>
          <w:sz w:val="28"/>
          <w:szCs w:val="28"/>
        </w:rPr>
        <w:t xml:space="preserve">về phiên họp chuyên đề về xây dựng pháp luật tháng 11 năm 2021, </w:t>
      </w:r>
      <w:r w:rsidRPr="00CA504F">
        <w:rPr>
          <w:rFonts w:ascii="Times New Roman" w:hAnsi="Times New Roman"/>
          <w:bCs/>
          <w:spacing w:val="-4"/>
          <w:sz w:val="28"/>
          <w:szCs w:val="28"/>
        </w:rPr>
        <w:t xml:space="preserve">Bộ Lao động – Thương binh và Xã hội báo cáo </w:t>
      </w:r>
      <w:r w:rsidR="00EA685C" w:rsidRPr="00CA504F">
        <w:rPr>
          <w:rFonts w:ascii="Times New Roman" w:hAnsi="Times New Roman"/>
          <w:bCs/>
          <w:spacing w:val="-4"/>
          <w:sz w:val="28"/>
          <w:szCs w:val="28"/>
        </w:rPr>
        <w:t xml:space="preserve">việc tổng kết </w:t>
      </w:r>
      <w:r w:rsidR="00EA685C" w:rsidRPr="00CA504F">
        <w:rPr>
          <w:rFonts w:ascii="Times New Roman" w:hAnsi="Times New Roman"/>
          <w:bCs/>
          <w:sz w:val="28"/>
          <w:szCs w:val="28"/>
        </w:rPr>
        <w:t xml:space="preserve">Nghị quyết số 93/2015/QH13 ngày 22 tháng 6 năm 2015 của Quốc hội khóa </w:t>
      </w:r>
      <w:r w:rsidR="008F6E4B" w:rsidRPr="00CA504F">
        <w:rPr>
          <w:rFonts w:ascii="Times New Roman" w:hAnsi="Times New Roman"/>
          <w:bCs/>
          <w:sz w:val="28"/>
          <w:szCs w:val="28"/>
        </w:rPr>
        <w:t>XIII</w:t>
      </w:r>
      <w:r w:rsidR="00EA685C" w:rsidRPr="00CA504F">
        <w:rPr>
          <w:rFonts w:ascii="Times New Roman" w:hAnsi="Times New Roman"/>
          <w:bCs/>
          <w:sz w:val="28"/>
          <w:szCs w:val="28"/>
        </w:rPr>
        <w:t xml:space="preserve"> về việc thực hiện chính sách hưởng bảo hiểm xã hội một lần đối với người lao động</w:t>
      </w:r>
      <w:r w:rsidR="00EA685C" w:rsidRPr="00CA504F">
        <w:rPr>
          <w:rFonts w:ascii="Times New Roman" w:hAnsi="Times New Roman"/>
          <w:bCs/>
          <w:spacing w:val="-4"/>
          <w:sz w:val="28"/>
          <w:szCs w:val="28"/>
        </w:rPr>
        <w:t xml:space="preserve"> </w:t>
      </w:r>
      <w:r w:rsidRPr="00CA504F">
        <w:rPr>
          <w:rFonts w:ascii="Times New Roman" w:hAnsi="Times New Roman"/>
          <w:bCs/>
          <w:spacing w:val="-4"/>
          <w:sz w:val="28"/>
          <w:szCs w:val="28"/>
        </w:rPr>
        <w:t>như sau:</w:t>
      </w:r>
    </w:p>
    <w:p w14:paraId="399053B8" w14:textId="4DFBE667" w:rsidR="00EA685C" w:rsidRPr="00CA504F" w:rsidRDefault="00EA685C" w:rsidP="00BC202A">
      <w:pPr>
        <w:spacing w:before="120" w:after="0"/>
        <w:jc w:val="both"/>
        <w:rPr>
          <w:rFonts w:ascii="Times New Roman" w:hAnsi="Times New Roman"/>
          <w:b/>
          <w:bCs/>
          <w:sz w:val="24"/>
          <w:szCs w:val="28"/>
        </w:rPr>
      </w:pPr>
      <w:r w:rsidRPr="00CA504F">
        <w:rPr>
          <w:rFonts w:ascii="Times New Roman" w:hAnsi="Times New Roman"/>
          <w:b/>
          <w:bCs/>
          <w:spacing w:val="-4"/>
          <w:sz w:val="24"/>
          <w:szCs w:val="28"/>
        </w:rPr>
        <w:tab/>
        <w:t>I. BỐI CẢNH BAN HÀNH CHÍNH SÁCH</w:t>
      </w:r>
    </w:p>
    <w:p w14:paraId="42B9D521" w14:textId="56375394" w:rsidR="00286C55" w:rsidRPr="00CA504F" w:rsidRDefault="00EA68B9" w:rsidP="00BC202A">
      <w:pPr>
        <w:pStyle w:val="1"/>
        <w:spacing w:before="120" w:after="0" w:line="276" w:lineRule="auto"/>
        <w:ind w:firstLine="709"/>
        <w:jc w:val="both"/>
        <w:rPr>
          <w:b w:val="0"/>
          <w:i/>
          <w:iCs/>
          <w:sz w:val="28"/>
          <w:szCs w:val="28"/>
          <w:shd w:val="clear" w:color="auto" w:fill="FFFFFF"/>
          <w:lang w:val="pt-BR"/>
        </w:rPr>
      </w:pPr>
      <w:r w:rsidRPr="00CA504F">
        <w:rPr>
          <w:b w:val="0"/>
          <w:sz w:val="28"/>
          <w:szCs w:val="28"/>
          <w:shd w:val="clear" w:color="auto" w:fill="FFFFFF"/>
          <w:lang w:val="pt-BR"/>
        </w:rPr>
        <w:t xml:space="preserve">Nhằm </w:t>
      </w:r>
      <w:r w:rsidR="004B6FD5" w:rsidRPr="00CA504F">
        <w:rPr>
          <w:b w:val="0"/>
          <w:sz w:val="28"/>
          <w:szCs w:val="28"/>
          <w:shd w:val="clear" w:color="auto" w:fill="FFFFFF"/>
          <w:lang w:val="pt-BR"/>
        </w:rPr>
        <w:t xml:space="preserve">hướng tới mục tiêu </w:t>
      </w:r>
      <w:r w:rsidRPr="00CA504F">
        <w:rPr>
          <w:b w:val="0"/>
          <w:sz w:val="28"/>
          <w:szCs w:val="28"/>
          <w:shd w:val="clear" w:color="auto" w:fill="FFFFFF"/>
          <w:lang w:val="pt-BR"/>
        </w:rPr>
        <w:t xml:space="preserve">mở rộng diện bao phủ đối tượng tham gia </w:t>
      </w:r>
      <w:r w:rsidR="00FB357D" w:rsidRPr="00CA504F">
        <w:rPr>
          <w:b w:val="0"/>
          <w:sz w:val="28"/>
          <w:szCs w:val="28"/>
          <w:shd w:val="clear" w:color="auto" w:fill="FFFFFF"/>
          <w:lang w:val="pt-BR"/>
        </w:rPr>
        <w:t>bảo hiểm xã hội (</w:t>
      </w:r>
      <w:r w:rsidRPr="00CA504F">
        <w:rPr>
          <w:b w:val="0"/>
          <w:sz w:val="28"/>
          <w:szCs w:val="28"/>
          <w:shd w:val="clear" w:color="auto" w:fill="FFFFFF"/>
          <w:lang w:val="pt-BR"/>
        </w:rPr>
        <w:t>BHXH</w:t>
      </w:r>
      <w:r w:rsidR="00FB357D" w:rsidRPr="00CA504F">
        <w:rPr>
          <w:b w:val="0"/>
          <w:sz w:val="28"/>
          <w:szCs w:val="28"/>
          <w:shd w:val="clear" w:color="auto" w:fill="FFFFFF"/>
          <w:lang w:val="pt-BR"/>
        </w:rPr>
        <w:t>)</w:t>
      </w:r>
      <w:r w:rsidRPr="00CA504F">
        <w:rPr>
          <w:b w:val="0"/>
          <w:sz w:val="28"/>
          <w:szCs w:val="28"/>
          <w:shd w:val="clear" w:color="auto" w:fill="FFFFFF"/>
          <w:lang w:val="pt-BR"/>
        </w:rPr>
        <w:t xml:space="preserve">, khuyến khích nông dân, lao động trong khu vực phi chính thức tham gia BHXH tự nguyện theo tinh thần Nghị quyết số 15-NQ/TW ngày 01 tháng 6 năm 2012 Ban Chấp hành Trung ương khóa XI về một số vấn đề về chính sách xã hội giai đoạn 2012-2020, </w:t>
      </w:r>
      <w:r w:rsidR="004B6FD5" w:rsidRPr="00CA504F">
        <w:rPr>
          <w:b w:val="0"/>
          <w:sz w:val="28"/>
          <w:szCs w:val="28"/>
          <w:shd w:val="clear" w:color="auto" w:fill="FFFFFF"/>
          <w:lang w:val="pt-BR"/>
        </w:rPr>
        <w:t xml:space="preserve">Nghị quyết số 21-NQ/TW ngày 21/12/2012 của Bộ Chính trị về tăng cường sự lãnh đạo của Đảng đối với công tác BHXH, BHYT giai đoạn 2012-2020, </w:t>
      </w:r>
      <w:r w:rsidR="00286C55" w:rsidRPr="00CA504F">
        <w:rPr>
          <w:b w:val="0"/>
          <w:sz w:val="28"/>
          <w:szCs w:val="28"/>
          <w:shd w:val="clear" w:color="auto" w:fill="FFFFFF"/>
          <w:lang w:val="pt-BR"/>
        </w:rPr>
        <w:t xml:space="preserve">Luật BHXH năm 2014 đã có </w:t>
      </w:r>
      <w:r w:rsidR="004B6FD5" w:rsidRPr="00CA504F">
        <w:rPr>
          <w:b w:val="0"/>
          <w:sz w:val="28"/>
          <w:szCs w:val="28"/>
          <w:shd w:val="clear" w:color="auto" w:fill="FFFFFF"/>
          <w:lang w:val="pt-BR"/>
        </w:rPr>
        <w:t xml:space="preserve">nhiều thay đổi, trong đó </w:t>
      </w:r>
      <w:r w:rsidR="00286C55" w:rsidRPr="00CA504F">
        <w:rPr>
          <w:b w:val="0"/>
          <w:sz w:val="28"/>
          <w:szCs w:val="28"/>
          <w:shd w:val="clear" w:color="auto" w:fill="FFFFFF"/>
          <w:lang w:val="pt-BR"/>
        </w:rPr>
        <w:t>có sự thay đổi về chính sách hưởng BHXH một lần đối với người tham gia nhằm</w:t>
      </w:r>
      <w:r w:rsidR="00B871C8" w:rsidRPr="00CA504F">
        <w:rPr>
          <w:b w:val="0"/>
          <w:sz w:val="28"/>
          <w:szCs w:val="28"/>
          <w:shd w:val="clear" w:color="auto" w:fill="FFFFFF"/>
          <w:lang w:val="pt-BR"/>
        </w:rPr>
        <w:t>:</w:t>
      </w:r>
      <w:r w:rsidR="00286C55" w:rsidRPr="00CA504F">
        <w:rPr>
          <w:b w:val="0"/>
          <w:sz w:val="28"/>
          <w:szCs w:val="28"/>
          <w:shd w:val="clear" w:color="auto" w:fill="FFFFFF"/>
          <w:lang w:val="pt-BR"/>
        </w:rPr>
        <w:t xml:space="preserve"> (i) hạn chế việc người tham gia BHXH cả bắt buộc và tự nguyện rời bỏ hệ thống để duy trì độ bao phủ của BHXH và (ii) bảo toàn những khoảng thời gian đã đóng BHXH của </w:t>
      </w:r>
      <w:r w:rsidR="004B6FD5" w:rsidRPr="00CA504F">
        <w:rPr>
          <w:b w:val="0"/>
          <w:sz w:val="28"/>
          <w:szCs w:val="28"/>
          <w:shd w:val="clear" w:color="auto" w:fill="FFFFFF"/>
          <w:lang w:val="pt-BR"/>
        </w:rPr>
        <w:t xml:space="preserve">người lao động </w:t>
      </w:r>
      <w:r w:rsidR="00286C55" w:rsidRPr="00CA504F">
        <w:rPr>
          <w:b w:val="0"/>
          <w:sz w:val="28"/>
          <w:szCs w:val="28"/>
          <w:shd w:val="clear" w:color="auto" w:fill="FFFFFF"/>
          <w:lang w:val="pt-BR"/>
        </w:rPr>
        <w:t xml:space="preserve">để tích lũy </w:t>
      </w:r>
      <w:r w:rsidR="004B6FD5" w:rsidRPr="00CA504F">
        <w:rPr>
          <w:b w:val="0"/>
          <w:sz w:val="28"/>
          <w:szCs w:val="28"/>
          <w:shd w:val="clear" w:color="auto" w:fill="FFFFFF"/>
          <w:lang w:val="pt-BR"/>
        </w:rPr>
        <w:t xml:space="preserve">thời gian đóng trong quá trình làm việc để đủ điều kiện </w:t>
      </w:r>
      <w:r w:rsidR="00286C55" w:rsidRPr="00CA504F">
        <w:rPr>
          <w:b w:val="0"/>
          <w:sz w:val="28"/>
          <w:szCs w:val="28"/>
          <w:shd w:val="clear" w:color="auto" w:fill="FFFFFF"/>
          <w:lang w:val="pt-BR"/>
        </w:rPr>
        <w:t xml:space="preserve">hưởng lương hưu hàng tháng </w:t>
      </w:r>
      <w:r w:rsidR="004B6FD5" w:rsidRPr="00CA504F">
        <w:rPr>
          <w:b w:val="0"/>
          <w:sz w:val="28"/>
          <w:szCs w:val="28"/>
          <w:shd w:val="clear" w:color="auto" w:fill="FFFFFF"/>
          <w:lang w:val="pt-BR"/>
        </w:rPr>
        <w:t>khi về già</w:t>
      </w:r>
      <w:r w:rsidR="00286C55" w:rsidRPr="00CA504F">
        <w:rPr>
          <w:b w:val="0"/>
          <w:sz w:val="28"/>
          <w:szCs w:val="28"/>
          <w:shd w:val="clear" w:color="auto" w:fill="FFFFFF"/>
          <w:lang w:val="pt-BR"/>
        </w:rPr>
        <w:t xml:space="preserve">. </w:t>
      </w:r>
    </w:p>
    <w:p w14:paraId="7D49270F" w14:textId="1FB3A71D" w:rsidR="00286C55" w:rsidRPr="00CA504F" w:rsidRDefault="00286C55" w:rsidP="00BC202A">
      <w:pPr>
        <w:pStyle w:val="1"/>
        <w:spacing w:before="120" w:after="0" w:line="276" w:lineRule="auto"/>
        <w:ind w:firstLine="709"/>
        <w:jc w:val="both"/>
        <w:rPr>
          <w:b w:val="0"/>
          <w:sz w:val="28"/>
          <w:szCs w:val="28"/>
          <w:shd w:val="clear" w:color="auto" w:fill="FFFFFF"/>
          <w:lang w:val="pt-BR"/>
        </w:rPr>
      </w:pPr>
      <w:r w:rsidRPr="00CA504F">
        <w:rPr>
          <w:b w:val="0"/>
          <w:sz w:val="28"/>
          <w:szCs w:val="28"/>
          <w:shd w:val="clear" w:color="auto" w:fill="FFFFFF"/>
          <w:lang w:val="pt-BR"/>
        </w:rPr>
        <w:t xml:space="preserve">Thay đổi trong chính sách hưởng BHXH một lần theo Luật BHXH năm 2014 nhằm hạn chế số lượng đối tượng hưởng BHXH một lần khi loại bỏ quy định </w:t>
      </w:r>
      <w:r w:rsidR="004B6FD5" w:rsidRPr="00CA504F">
        <w:rPr>
          <w:b w:val="0"/>
          <w:sz w:val="28"/>
          <w:szCs w:val="28"/>
          <w:shd w:val="clear" w:color="auto" w:fill="FFFFFF"/>
          <w:lang w:val="pt-BR"/>
        </w:rPr>
        <w:t xml:space="preserve">đối với người lao động khi chưa đến tuổi nghỉ hưu </w:t>
      </w:r>
      <w:r w:rsidRPr="00CA504F">
        <w:rPr>
          <w:b w:val="0"/>
          <w:sz w:val="28"/>
          <w:szCs w:val="28"/>
          <w:shd w:val="clear" w:color="auto" w:fill="FFFFFF"/>
          <w:lang w:val="pt-BR"/>
        </w:rPr>
        <w:t xml:space="preserve">“sau một năm nghỉ việc nếu không tiếp tục đóng BHXH và có yêu cầu nhận”  của Luật BHXH năm 2006. Tuy nhiên, khi Luật BHXH năm 2014 vẫn chưa có hiệu lực thi hành thì một bộ phận người lao động (chủ yếu ở khu vực phía Nam) có kiến nghị được lựa chọn hưởng chế độ BHXH một lần hoặc bảo lưu thời gian đóng BHXH như quy định tại Luật BHXH năm 2006. Trước tình hình này và trên cơ sở các kiến nghị của Ủy ban nhân dân thành phố Hồ Chí Minh, ý kiến của Chủ tịch Ủy ban Trung ương Mặt trận Tổ quốc Việt Nam và </w:t>
      </w:r>
      <w:r w:rsidRPr="00CA504F">
        <w:rPr>
          <w:b w:val="0"/>
          <w:sz w:val="28"/>
          <w:szCs w:val="28"/>
          <w:shd w:val="clear" w:color="auto" w:fill="FFFFFF"/>
          <w:lang w:val="pt-BR"/>
        </w:rPr>
        <w:lastRenderedPageBreak/>
        <w:t>Tổng Liên đoàn Lao động Việt Nam cũng như của Chính phủ, ngày 22 tháng 6 năm 2015, Quốc hội đã thông qua Nghị quyết số 93/2015/QH13 về việc thực hiện chính sách hưởng BHXH một lần đối với người lao động. Nghị quyết này cho phép người lao động tham gia BHXH bắt buộc sau một năm nghỉ việc, người tham gia BHXH tự nguyện sau một năm không tiếp tục đóng BHXH mà chưa đủ 20 năm đóng BHXH được nhận BHXH một lần nếu có yêu cầu. Thực chất</w:t>
      </w:r>
      <w:r w:rsidR="00B66B3A" w:rsidRPr="00CA504F">
        <w:rPr>
          <w:b w:val="0"/>
          <w:sz w:val="28"/>
          <w:szCs w:val="28"/>
          <w:shd w:val="clear" w:color="auto" w:fill="FFFFFF"/>
          <w:lang w:val="pt-BR"/>
        </w:rPr>
        <w:t xml:space="preserve"> quy định này</w:t>
      </w:r>
      <w:r w:rsidRPr="00CA504F">
        <w:rPr>
          <w:b w:val="0"/>
          <w:sz w:val="28"/>
          <w:szCs w:val="28"/>
          <w:shd w:val="clear" w:color="auto" w:fill="FFFFFF"/>
          <w:lang w:val="pt-BR"/>
        </w:rPr>
        <w:t xml:space="preserve"> là cho phép </w:t>
      </w:r>
      <w:r w:rsidR="004B6FD5" w:rsidRPr="00CA504F">
        <w:rPr>
          <w:b w:val="0"/>
          <w:sz w:val="28"/>
          <w:szCs w:val="28"/>
          <w:shd w:val="clear" w:color="auto" w:fill="FFFFFF"/>
          <w:lang w:val="pt-BR"/>
        </w:rPr>
        <w:t xml:space="preserve">thực hiện </w:t>
      </w:r>
      <w:r w:rsidRPr="00CA504F">
        <w:rPr>
          <w:b w:val="0"/>
          <w:sz w:val="28"/>
          <w:szCs w:val="28"/>
          <w:shd w:val="clear" w:color="auto" w:fill="FFFFFF"/>
          <w:lang w:val="pt-BR"/>
        </w:rPr>
        <w:t xml:space="preserve">chính sách hưởng BHXH một lần </w:t>
      </w:r>
      <w:r w:rsidR="004B6FD5" w:rsidRPr="00CA504F">
        <w:rPr>
          <w:b w:val="0"/>
          <w:sz w:val="28"/>
          <w:szCs w:val="28"/>
          <w:shd w:val="clear" w:color="auto" w:fill="FFFFFF"/>
          <w:lang w:val="pt-BR"/>
        </w:rPr>
        <w:t xml:space="preserve">như quy định </w:t>
      </w:r>
      <w:r w:rsidRPr="00CA504F">
        <w:rPr>
          <w:b w:val="0"/>
          <w:sz w:val="28"/>
          <w:szCs w:val="28"/>
          <w:shd w:val="clear" w:color="auto" w:fill="FFFFFF"/>
          <w:lang w:val="pt-BR"/>
        </w:rPr>
        <w:t>của Luật BHXH năm 2006.</w:t>
      </w:r>
    </w:p>
    <w:p w14:paraId="1FDE6E92" w14:textId="33449AC6" w:rsidR="004B6FD5" w:rsidRPr="00CA504F" w:rsidRDefault="004B6FD5" w:rsidP="00BC202A">
      <w:pPr>
        <w:pStyle w:val="1"/>
        <w:spacing w:before="120" w:after="0" w:line="276" w:lineRule="auto"/>
        <w:ind w:firstLine="709"/>
        <w:jc w:val="both"/>
        <w:rPr>
          <w:sz w:val="28"/>
          <w:szCs w:val="28"/>
          <w:shd w:val="clear" w:color="auto" w:fill="FFFFFF"/>
          <w:lang w:val="pt-BR"/>
        </w:rPr>
      </w:pPr>
      <w:r w:rsidRPr="00CA504F">
        <w:rPr>
          <w:sz w:val="24"/>
          <w:szCs w:val="28"/>
          <w:shd w:val="clear" w:color="auto" w:fill="FFFFFF"/>
          <w:lang w:val="pt-BR"/>
        </w:rPr>
        <w:t>II. TÌNH HÌNH THỰC HIỆN CHÍNH SÁCH HƯỞNG BHXH MỘT LẦN</w:t>
      </w:r>
    </w:p>
    <w:p w14:paraId="77FFFBE0" w14:textId="7E5FD8C2" w:rsidR="003D3709" w:rsidRPr="00CA504F" w:rsidRDefault="003D3709" w:rsidP="00BC202A">
      <w:pPr>
        <w:pStyle w:val="1"/>
        <w:spacing w:before="120" w:after="0" w:line="276" w:lineRule="auto"/>
        <w:ind w:firstLine="709"/>
        <w:jc w:val="both"/>
        <w:outlineLvl w:val="0"/>
        <w:rPr>
          <w:b w:val="0"/>
          <w:sz w:val="28"/>
          <w:szCs w:val="28"/>
          <w:shd w:val="clear" w:color="auto" w:fill="FFFFFF"/>
          <w:lang w:val="pt-BR"/>
        </w:rPr>
      </w:pPr>
      <w:r w:rsidRPr="00CA504F">
        <w:rPr>
          <w:b w:val="0"/>
          <w:sz w:val="28"/>
          <w:szCs w:val="28"/>
          <w:shd w:val="clear" w:color="auto" w:fill="FFFFFF"/>
          <w:lang w:val="pt-BR"/>
        </w:rPr>
        <w:t>Để phục vụ cho việc phân tích, đánh giá tình hình thực hiện chính sách hưởng BHXH một lần theo Nghị quyết số 93/2015/QH13, bên cạnh việc tổng hợp chung từ Bảo hiểm xã hội Việt Nam, Bộ Lao động - Thương binh và Xã hội đã chủ trì, phối hợp với Bảo hiểm xã hội Việt Nam và Dự án về Mục tiêu Xã hội trong Tăng trưở</w:t>
      </w:r>
      <w:r w:rsidR="00AF3C86">
        <w:rPr>
          <w:b w:val="0"/>
          <w:sz w:val="28"/>
          <w:szCs w:val="28"/>
          <w:shd w:val="clear" w:color="auto" w:fill="FFFFFF"/>
          <w:lang w:val="pt-BR"/>
        </w:rPr>
        <w:t>ng xanh, b</w:t>
      </w:r>
      <w:r w:rsidRPr="00CA504F">
        <w:rPr>
          <w:b w:val="0"/>
          <w:sz w:val="28"/>
          <w:szCs w:val="28"/>
          <w:shd w:val="clear" w:color="auto" w:fill="FFFFFF"/>
          <w:lang w:val="pt-BR"/>
        </w:rPr>
        <w:t>ền vững của GIZ tổ chức khảo sát tại 04 tỉnh, thành phố gồm Hà Nội (Quận Đống Đa và huyện Đông Anh), Hồ Chí Minh (Quận Bình Tân và huyện Bình Chánh), Bắc Giang (Huyện Việt Yên)</w:t>
      </w:r>
      <w:r w:rsidR="00E45432" w:rsidRPr="00CA504F">
        <w:rPr>
          <w:b w:val="0"/>
          <w:sz w:val="28"/>
          <w:szCs w:val="28"/>
          <w:shd w:val="clear" w:color="auto" w:fill="FFFFFF"/>
          <w:lang w:val="pt-BR"/>
        </w:rPr>
        <w:t xml:space="preserve"> và</w:t>
      </w:r>
      <w:r w:rsidRPr="00CA504F">
        <w:rPr>
          <w:b w:val="0"/>
          <w:sz w:val="28"/>
          <w:szCs w:val="28"/>
          <w:shd w:val="clear" w:color="auto" w:fill="FFFFFF"/>
          <w:lang w:val="pt-BR"/>
        </w:rPr>
        <w:t xml:space="preserve"> Long An (Huyện Bến Lức) thực hiện khảo sát ngẫu nhiên 207 người (83 nam và 204 nữ) đã và đang làm thủ tục hưởng BHXH một lần.</w:t>
      </w:r>
    </w:p>
    <w:p w14:paraId="6805C8A0" w14:textId="23284722" w:rsidR="00330F92" w:rsidRPr="00CA504F" w:rsidRDefault="00330F92" w:rsidP="00BC202A">
      <w:pPr>
        <w:pStyle w:val="1"/>
        <w:spacing w:before="120" w:after="0" w:line="276" w:lineRule="auto"/>
        <w:ind w:firstLine="709"/>
        <w:jc w:val="both"/>
        <w:outlineLvl w:val="0"/>
        <w:rPr>
          <w:b w:val="0"/>
          <w:sz w:val="28"/>
          <w:szCs w:val="28"/>
          <w:shd w:val="clear" w:color="auto" w:fill="FFFFFF"/>
          <w:lang w:val="vi-VN"/>
        </w:rPr>
      </w:pPr>
      <w:r w:rsidRPr="00CA504F">
        <w:rPr>
          <w:b w:val="0"/>
          <w:sz w:val="28"/>
          <w:szCs w:val="28"/>
          <w:shd w:val="clear" w:color="auto" w:fill="FFFFFF"/>
          <w:lang w:val="vi-VN"/>
        </w:rPr>
        <w:t>Bảo hiểm xã hội Việt Nam đã chỉ đạo 63 địa phương rà soát số liệu, phân tích nguyên nhân, xây dựng báo cáo về tình hình hưởng BHXH một lần.</w:t>
      </w:r>
    </w:p>
    <w:p w14:paraId="73E6D581" w14:textId="3EBC34B1" w:rsidR="00330F92" w:rsidRPr="00CA504F" w:rsidRDefault="00330F92" w:rsidP="00BC202A">
      <w:pPr>
        <w:pStyle w:val="1"/>
        <w:spacing w:before="120" w:after="0" w:line="276" w:lineRule="auto"/>
        <w:ind w:firstLine="709"/>
        <w:jc w:val="both"/>
        <w:outlineLvl w:val="0"/>
        <w:rPr>
          <w:b w:val="0"/>
          <w:sz w:val="28"/>
          <w:szCs w:val="28"/>
          <w:shd w:val="clear" w:color="auto" w:fill="FFFFFF"/>
          <w:lang w:val="vi-VN"/>
        </w:rPr>
      </w:pPr>
      <w:r w:rsidRPr="00CA504F">
        <w:rPr>
          <w:b w:val="0"/>
          <w:sz w:val="28"/>
          <w:szCs w:val="28"/>
          <w:shd w:val="clear" w:color="auto" w:fill="FFFFFF"/>
          <w:lang w:val="vi-VN"/>
        </w:rPr>
        <w:t>Bộ Lao động – Thương binh và Xã hội phối hợp với Ban Kinh tế Trung ương và BHXH Việt Nam tổ chức Đoàn khảo sát làm việc tại 8 tỉnh uỷ, thành uỷ và trực tiếp tại 16 doanh nghiệp nhằm sơ kết 5 năm triển khai thực hiện Nghị quyết số 28-NQ/TW và lấy ý kiến đối với hồ sơ dự án Luật BHXH (sửa đổi), trong đó có nội dung khảo sát trọng tâm về hưởng BHXH một lần.</w:t>
      </w:r>
    </w:p>
    <w:p w14:paraId="1A865380" w14:textId="0171BB8A" w:rsidR="003D3709" w:rsidRPr="00CA504F" w:rsidRDefault="003D3709" w:rsidP="00BC202A">
      <w:pPr>
        <w:pStyle w:val="1"/>
        <w:spacing w:before="120" w:after="0" w:line="276" w:lineRule="auto"/>
        <w:ind w:firstLine="709"/>
        <w:jc w:val="both"/>
        <w:outlineLvl w:val="0"/>
        <w:rPr>
          <w:b w:val="0"/>
          <w:sz w:val="28"/>
          <w:szCs w:val="28"/>
          <w:shd w:val="clear" w:color="auto" w:fill="FFFFFF"/>
          <w:lang w:val="pt-BR"/>
        </w:rPr>
      </w:pPr>
      <w:r w:rsidRPr="00CA504F">
        <w:rPr>
          <w:b w:val="0"/>
          <w:sz w:val="28"/>
          <w:szCs w:val="28"/>
          <w:shd w:val="clear" w:color="auto" w:fill="FFFFFF"/>
          <w:lang w:val="pt-BR"/>
        </w:rPr>
        <w:t>Trên cơ sở kết quả khảo sát và theo số liệu báo cáo của BHXH Việt Nam, Bộ Lao động - Thương binh và Xã hội đánh giá thực trạng hưởng BHXH một lần của người lao động theo Nghị quyết số 93/2015/QH13 như sau:</w:t>
      </w:r>
    </w:p>
    <w:p w14:paraId="02270858" w14:textId="314BB452" w:rsidR="000856FA" w:rsidRPr="00CA504F" w:rsidRDefault="000856FA" w:rsidP="00BC202A">
      <w:pPr>
        <w:pStyle w:val="1"/>
        <w:spacing w:before="120" w:after="0" w:line="276" w:lineRule="auto"/>
        <w:ind w:firstLine="709"/>
        <w:jc w:val="both"/>
        <w:outlineLvl w:val="1"/>
        <w:rPr>
          <w:sz w:val="28"/>
          <w:szCs w:val="28"/>
          <w:shd w:val="clear" w:color="auto" w:fill="FFFFFF"/>
          <w:lang w:val="pt-BR"/>
        </w:rPr>
      </w:pPr>
      <w:r w:rsidRPr="00CA504F">
        <w:rPr>
          <w:sz w:val="28"/>
          <w:szCs w:val="28"/>
          <w:shd w:val="clear" w:color="auto" w:fill="FFFFFF"/>
          <w:lang w:val="pt-BR"/>
        </w:rPr>
        <w:t xml:space="preserve">1. Thực trạng hưởng BHXH một lần giai đoạn </w:t>
      </w:r>
      <w:r w:rsidR="00A30F6D" w:rsidRPr="00CA504F">
        <w:rPr>
          <w:sz w:val="28"/>
          <w:szCs w:val="28"/>
          <w:shd w:val="clear" w:color="auto" w:fill="FFFFFF"/>
          <w:lang w:val="pt-BR"/>
        </w:rPr>
        <w:t>2016-2022</w:t>
      </w:r>
    </w:p>
    <w:p w14:paraId="1CEF9EAC" w14:textId="77777777" w:rsidR="00AF3C86" w:rsidRDefault="000856FA" w:rsidP="00BC202A">
      <w:pPr>
        <w:pStyle w:val="1"/>
        <w:spacing w:before="120" w:after="0" w:line="276" w:lineRule="auto"/>
        <w:ind w:firstLine="720"/>
        <w:jc w:val="both"/>
        <w:rPr>
          <w:b w:val="0"/>
          <w:sz w:val="28"/>
          <w:szCs w:val="28"/>
        </w:rPr>
      </w:pPr>
      <w:r w:rsidRPr="00CA504F">
        <w:rPr>
          <w:b w:val="0"/>
          <w:sz w:val="28"/>
          <w:szCs w:val="28"/>
        </w:rPr>
        <w:t xml:space="preserve">- Theo </w:t>
      </w:r>
      <w:r w:rsidRPr="00CA504F">
        <w:rPr>
          <w:b w:val="0"/>
          <w:sz w:val="28"/>
          <w:szCs w:val="28"/>
          <w:lang w:val="vi-VN"/>
        </w:rPr>
        <w:t xml:space="preserve">số liệu </w:t>
      </w:r>
      <w:r w:rsidRPr="00CA504F">
        <w:rPr>
          <w:b w:val="0"/>
          <w:sz w:val="28"/>
          <w:szCs w:val="28"/>
        </w:rPr>
        <w:t xml:space="preserve">thống kê của BHXH Việt Nam </w:t>
      </w:r>
      <w:r w:rsidRPr="00CA504F">
        <w:rPr>
          <w:b w:val="0"/>
          <w:sz w:val="28"/>
          <w:szCs w:val="28"/>
          <w:lang w:val="vi-VN"/>
        </w:rPr>
        <w:t>cho thấy, trong giai đoạn 2016-202</w:t>
      </w:r>
      <w:r w:rsidR="00721DE0" w:rsidRPr="00CA504F">
        <w:rPr>
          <w:b w:val="0"/>
          <w:sz w:val="28"/>
          <w:szCs w:val="28"/>
        </w:rPr>
        <w:t>2</w:t>
      </w:r>
      <w:r w:rsidRPr="00CA504F">
        <w:rPr>
          <w:b w:val="0"/>
          <w:sz w:val="28"/>
          <w:szCs w:val="28"/>
        </w:rPr>
        <w:t>,</w:t>
      </w:r>
      <w:r w:rsidRPr="00CA504F">
        <w:rPr>
          <w:b w:val="0"/>
          <w:sz w:val="28"/>
          <w:szCs w:val="28"/>
          <w:lang w:val="vi-VN"/>
        </w:rPr>
        <w:t xml:space="preserve"> </w:t>
      </w:r>
      <w:r w:rsidRPr="00CA504F">
        <w:rPr>
          <w:b w:val="0"/>
          <w:sz w:val="28"/>
          <w:szCs w:val="28"/>
        </w:rPr>
        <w:t>cả nước</w:t>
      </w:r>
      <w:r w:rsidRPr="00CA504F">
        <w:rPr>
          <w:b w:val="0"/>
          <w:sz w:val="28"/>
          <w:szCs w:val="28"/>
          <w:lang w:val="vi-VN"/>
        </w:rPr>
        <w:t xml:space="preserve"> có </w:t>
      </w:r>
      <w:r w:rsidR="00721DE0" w:rsidRPr="00CA504F">
        <w:rPr>
          <w:b w:val="0"/>
          <w:sz w:val="28"/>
          <w:szCs w:val="28"/>
        </w:rPr>
        <w:t>4.847.344</w:t>
      </w:r>
      <w:r w:rsidRPr="00CA504F">
        <w:rPr>
          <w:b w:val="0"/>
          <w:sz w:val="28"/>
          <w:szCs w:val="28"/>
        </w:rPr>
        <w:t xml:space="preserve"> người lao động</w:t>
      </w:r>
      <w:r w:rsidRPr="00CA504F">
        <w:rPr>
          <w:b w:val="0"/>
          <w:sz w:val="28"/>
          <w:szCs w:val="28"/>
          <w:lang w:val="vi-VN"/>
        </w:rPr>
        <w:t xml:space="preserve"> đề nghị và được giải quyết hưởng BHXH một lần, </w:t>
      </w:r>
      <w:r w:rsidR="00330F92" w:rsidRPr="00CA504F">
        <w:rPr>
          <w:b w:val="0"/>
          <w:sz w:val="28"/>
          <w:szCs w:val="28"/>
          <w:lang w:val="vi-VN"/>
        </w:rPr>
        <w:t>sau khi hưởng BHXH một lần, có khoảng gần 1,3 triệu người quay trở lại tiếp tục tham gia đóng BHXH (chiếm 26% số người hưởng BHXH một lần)</w:t>
      </w:r>
      <w:r w:rsidR="00AF3C86">
        <w:rPr>
          <w:b w:val="0"/>
          <w:sz w:val="28"/>
          <w:szCs w:val="28"/>
        </w:rPr>
        <w:t>. Khảo sát tại Hà Nội cho kết quả: Tì</w:t>
      </w:r>
      <w:r w:rsidR="00AF3C86" w:rsidRPr="00AF3C86">
        <w:rPr>
          <w:b w:val="0"/>
          <w:sz w:val="28"/>
          <w:szCs w:val="28"/>
          <w:lang w:val="vi-VN"/>
        </w:rPr>
        <w:t>nh trạng nhận BHXH một lần diễn ra rấ</w:t>
      </w:r>
      <w:r w:rsidR="00AF3C86">
        <w:rPr>
          <w:b w:val="0"/>
          <w:sz w:val="28"/>
          <w:szCs w:val="28"/>
          <w:lang w:val="vi-VN"/>
        </w:rPr>
        <w:t xml:space="preserve">t ít, </w:t>
      </w:r>
      <w:r w:rsidR="00AF3C86">
        <w:rPr>
          <w:b w:val="0"/>
          <w:sz w:val="28"/>
          <w:szCs w:val="28"/>
        </w:rPr>
        <w:t>g</w:t>
      </w:r>
      <w:r w:rsidR="00AF3C86" w:rsidRPr="00AF3C86">
        <w:rPr>
          <w:b w:val="0"/>
          <w:sz w:val="28"/>
          <w:szCs w:val="28"/>
          <w:lang w:val="vi-VN"/>
        </w:rPr>
        <w:t>iai đoạn 2016-2022</w:t>
      </w:r>
      <w:r w:rsidR="00AF3C86">
        <w:rPr>
          <w:b w:val="0"/>
          <w:sz w:val="28"/>
          <w:szCs w:val="28"/>
        </w:rPr>
        <w:t xml:space="preserve"> chỉ</w:t>
      </w:r>
      <w:r w:rsidR="00AF3C86" w:rsidRPr="00AF3C86">
        <w:rPr>
          <w:b w:val="0"/>
          <w:sz w:val="28"/>
          <w:szCs w:val="28"/>
          <w:lang w:val="vi-VN"/>
        </w:rPr>
        <w:t xml:space="preserve"> có 196 nghìn người nhận BHXH một lần sau đó có 60% tương đương 120 nghìn người quay trở lại tiếp tục đóng BHXH để hưởng hưu</w:t>
      </w:r>
      <w:r w:rsidR="00AF3C86">
        <w:rPr>
          <w:b w:val="0"/>
          <w:sz w:val="28"/>
          <w:szCs w:val="28"/>
        </w:rPr>
        <w:t>.</w:t>
      </w:r>
    </w:p>
    <w:p w14:paraId="34F5A6DA" w14:textId="31E9DED3" w:rsidR="00A30F6D" w:rsidRPr="00CA504F" w:rsidRDefault="00AF3C86" w:rsidP="00BC202A">
      <w:pPr>
        <w:pStyle w:val="1"/>
        <w:spacing w:before="120" w:after="0" w:line="276" w:lineRule="auto"/>
        <w:ind w:firstLine="720"/>
        <w:jc w:val="both"/>
        <w:rPr>
          <w:b w:val="0"/>
          <w:sz w:val="28"/>
          <w:szCs w:val="28"/>
          <w:lang w:val="pt-BR"/>
        </w:rPr>
      </w:pPr>
      <w:r>
        <w:rPr>
          <w:b w:val="0"/>
          <w:sz w:val="28"/>
          <w:szCs w:val="28"/>
        </w:rPr>
        <w:t>N</w:t>
      </w:r>
      <w:r w:rsidR="00330F92" w:rsidRPr="00CA504F">
        <w:rPr>
          <w:b w:val="0"/>
          <w:sz w:val="28"/>
          <w:szCs w:val="28"/>
          <w:lang w:val="vi-VN"/>
        </w:rPr>
        <w:t xml:space="preserve">hư vậy, thực tế số người hưởng BHXH một lần, không quay trở lại là </w:t>
      </w:r>
      <w:r w:rsidR="00330F92" w:rsidRPr="00CA504F">
        <w:rPr>
          <w:b w:val="0"/>
          <w:sz w:val="28"/>
          <w:szCs w:val="28"/>
          <w:lang w:val="vi-VN"/>
        </w:rPr>
        <w:lastRenderedPageBreak/>
        <w:t xml:space="preserve">3.547.344 người, </w:t>
      </w:r>
      <w:r w:rsidR="00532768" w:rsidRPr="00CA504F">
        <w:rPr>
          <w:b w:val="0"/>
          <w:sz w:val="28"/>
          <w:szCs w:val="28"/>
          <w:lang w:val="pt-BR"/>
        </w:rPr>
        <w:t xml:space="preserve">bình quân mỗi năm có </w:t>
      </w:r>
      <w:r w:rsidR="0046333C" w:rsidRPr="00CA504F">
        <w:rPr>
          <w:b w:val="0"/>
          <w:sz w:val="28"/>
          <w:szCs w:val="28"/>
          <w:lang w:val="pt-BR"/>
        </w:rPr>
        <w:t>hơn</w:t>
      </w:r>
      <w:r w:rsidR="00532768" w:rsidRPr="00CA504F">
        <w:rPr>
          <w:b w:val="0"/>
          <w:sz w:val="28"/>
          <w:szCs w:val="28"/>
          <w:lang w:val="pt-BR"/>
        </w:rPr>
        <w:t xml:space="preserve"> </w:t>
      </w:r>
      <w:r w:rsidR="00330F92" w:rsidRPr="00CA504F">
        <w:rPr>
          <w:b w:val="0"/>
          <w:sz w:val="28"/>
          <w:szCs w:val="28"/>
          <w:lang w:val="vi-VN"/>
        </w:rPr>
        <w:t>591</w:t>
      </w:r>
      <w:r w:rsidR="00532768" w:rsidRPr="00CA504F">
        <w:rPr>
          <w:b w:val="0"/>
          <w:sz w:val="28"/>
          <w:szCs w:val="28"/>
          <w:lang w:val="pt-BR"/>
        </w:rPr>
        <w:t xml:space="preserve"> nghìn người hưởng BHXH một lần, </w:t>
      </w:r>
      <w:r w:rsidR="000856FA" w:rsidRPr="00CA504F">
        <w:rPr>
          <w:b w:val="0"/>
          <w:sz w:val="28"/>
          <w:szCs w:val="28"/>
          <w:lang w:val="vi-VN"/>
        </w:rPr>
        <w:t>số lượng năm sau luôn cao hơn năm trước với tốc độ tăng trung bình</w:t>
      </w:r>
      <w:r w:rsidR="000856FA" w:rsidRPr="00CA504F">
        <w:rPr>
          <w:b w:val="0"/>
          <w:sz w:val="28"/>
          <w:szCs w:val="28"/>
          <w:lang w:val="pt-BR"/>
        </w:rPr>
        <w:t xml:space="preserve"> mỗi năm khoảng </w:t>
      </w:r>
      <w:r w:rsidR="00235DF7" w:rsidRPr="00CA504F">
        <w:rPr>
          <w:b w:val="0"/>
          <w:sz w:val="28"/>
          <w:szCs w:val="28"/>
          <w:lang w:val="pt-BR"/>
        </w:rPr>
        <w:t>12</w:t>
      </w:r>
      <w:r w:rsidR="000856FA" w:rsidRPr="00CA504F">
        <w:rPr>
          <w:b w:val="0"/>
          <w:sz w:val="28"/>
          <w:szCs w:val="28"/>
          <w:lang w:val="pt-BR"/>
        </w:rPr>
        <w:t>,</w:t>
      </w:r>
      <w:r w:rsidR="00235DF7" w:rsidRPr="00CA504F">
        <w:rPr>
          <w:b w:val="0"/>
          <w:sz w:val="28"/>
          <w:szCs w:val="28"/>
          <w:lang w:val="pt-BR"/>
        </w:rPr>
        <w:t>3</w:t>
      </w:r>
      <w:r w:rsidR="000856FA" w:rsidRPr="00CA504F">
        <w:rPr>
          <w:b w:val="0"/>
          <w:sz w:val="28"/>
          <w:szCs w:val="28"/>
          <w:lang w:val="pt-BR"/>
        </w:rPr>
        <w:t>%.</w:t>
      </w:r>
    </w:p>
    <w:p w14:paraId="46E9AD63" w14:textId="5C20FA7C" w:rsidR="000856FA" w:rsidRPr="00CA504F" w:rsidRDefault="000856FA" w:rsidP="00BC202A">
      <w:pPr>
        <w:pStyle w:val="1"/>
        <w:spacing w:before="120" w:after="0" w:line="276" w:lineRule="auto"/>
        <w:ind w:firstLine="720"/>
        <w:jc w:val="both"/>
        <w:rPr>
          <w:b w:val="0"/>
          <w:sz w:val="28"/>
          <w:szCs w:val="28"/>
          <w:lang w:val="pt-BR"/>
        </w:rPr>
      </w:pPr>
      <w:r w:rsidRPr="00CA504F">
        <w:rPr>
          <w:b w:val="0"/>
          <w:sz w:val="28"/>
          <w:szCs w:val="28"/>
          <w:lang w:val="pt-BR"/>
        </w:rPr>
        <w:t>Cụ thể: năm 2016 là 500.174 người, năm 2017 là 560.137 người (tăng 11.99% so với năm 2016), năm 2018 là 666.482 người (tăng 18.99 % so với năm 2017), năm 2019 là 707.184 người (tăng 6,11% so với năm 2018), năm 2020 là 761.081 người (tăng 7,62% so với năm 2019), năm 2021 là 863.259 người (tăng 13.43% so với năm 2020 và tăng 73% so với năm 2016)</w:t>
      </w:r>
      <w:r w:rsidR="00721DE0" w:rsidRPr="00CA504F">
        <w:rPr>
          <w:b w:val="0"/>
          <w:sz w:val="28"/>
          <w:szCs w:val="28"/>
          <w:lang w:val="pt-BR"/>
        </w:rPr>
        <w:t xml:space="preserve">, năm 2022 là </w:t>
      </w:r>
      <w:r w:rsidR="00CA504F">
        <w:rPr>
          <w:b w:val="0"/>
          <w:sz w:val="28"/>
          <w:szCs w:val="28"/>
          <w:lang w:val="pt-BR"/>
        </w:rPr>
        <w:t>8</w:t>
      </w:r>
      <w:r w:rsidR="00721DE0" w:rsidRPr="00CA504F">
        <w:rPr>
          <w:b w:val="0"/>
          <w:sz w:val="28"/>
          <w:szCs w:val="28"/>
          <w:lang w:val="pt-BR"/>
        </w:rPr>
        <w:t>97.4</w:t>
      </w:r>
      <w:r w:rsidR="00CA504F">
        <w:rPr>
          <w:b w:val="0"/>
          <w:sz w:val="28"/>
          <w:szCs w:val="28"/>
          <w:lang w:val="pt-BR"/>
        </w:rPr>
        <w:t>87</w:t>
      </w:r>
      <w:r w:rsidR="00721DE0" w:rsidRPr="00CA504F">
        <w:rPr>
          <w:b w:val="0"/>
          <w:sz w:val="28"/>
          <w:szCs w:val="28"/>
          <w:lang w:val="pt-BR"/>
        </w:rPr>
        <w:t xml:space="preserve"> người (tăng </w:t>
      </w:r>
      <w:r w:rsidR="00CA504F">
        <w:rPr>
          <w:b w:val="0"/>
          <w:sz w:val="28"/>
          <w:szCs w:val="28"/>
          <w:lang w:val="pt-BR"/>
        </w:rPr>
        <w:t>3</w:t>
      </w:r>
      <w:r w:rsidR="00721DE0" w:rsidRPr="00CA504F">
        <w:rPr>
          <w:b w:val="0"/>
          <w:sz w:val="28"/>
          <w:szCs w:val="28"/>
          <w:lang w:val="pt-BR"/>
        </w:rPr>
        <w:t>,</w:t>
      </w:r>
      <w:r w:rsidR="00CA504F">
        <w:rPr>
          <w:b w:val="0"/>
          <w:sz w:val="28"/>
          <w:szCs w:val="28"/>
          <w:lang w:val="pt-BR"/>
        </w:rPr>
        <w:t>9</w:t>
      </w:r>
      <w:r w:rsidR="00721DE0" w:rsidRPr="00CA504F">
        <w:rPr>
          <w:b w:val="0"/>
          <w:sz w:val="28"/>
          <w:szCs w:val="28"/>
          <w:lang w:val="pt-BR"/>
        </w:rPr>
        <w:t xml:space="preserve">% so với năm 2021 và tăng </w:t>
      </w:r>
      <w:r w:rsidR="00A56C58">
        <w:rPr>
          <w:b w:val="0"/>
          <w:sz w:val="28"/>
          <w:szCs w:val="28"/>
          <w:lang w:val="pt-BR"/>
        </w:rPr>
        <w:t>7</w:t>
      </w:r>
      <w:r w:rsidR="00721DE0" w:rsidRPr="00CA504F">
        <w:rPr>
          <w:b w:val="0"/>
          <w:sz w:val="28"/>
          <w:szCs w:val="28"/>
          <w:lang w:val="pt-BR"/>
        </w:rPr>
        <w:t>9,4% so với năm 2016)</w:t>
      </w:r>
      <w:r w:rsidRPr="00CA504F">
        <w:rPr>
          <w:b w:val="0"/>
          <w:sz w:val="28"/>
          <w:szCs w:val="28"/>
          <w:lang w:val="pt-BR"/>
        </w:rPr>
        <w:t>.</w:t>
      </w:r>
    </w:p>
    <w:p w14:paraId="0DAD8B81" w14:textId="4A648B49" w:rsidR="000856FA" w:rsidRPr="00CA504F" w:rsidRDefault="000856FA" w:rsidP="00BC202A">
      <w:pPr>
        <w:pStyle w:val="1"/>
        <w:spacing w:before="120" w:after="0" w:line="276" w:lineRule="auto"/>
        <w:ind w:firstLine="709"/>
        <w:jc w:val="both"/>
        <w:rPr>
          <w:rFonts w:asciiTheme="majorHAnsi" w:hAnsiTheme="majorHAnsi" w:cstheme="majorHAnsi"/>
          <w:b w:val="0"/>
          <w:sz w:val="28"/>
          <w:szCs w:val="28"/>
          <w:lang w:val="pt-BR"/>
        </w:rPr>
      </w:pPr>
      <w:r w:rsidRPr="00CA504F">
        <w:rPr>
          <w:b w:val="0"/>
          <w:sz w:val="28"/>
          <w:szCs w:val="28"/>
          <w:lang w:val="pt-BR"/>
        </w:rPr>
        <w:t>Tương ứng với số người hưởng BHXH một lần thì số tiền chi trả cũng tăng, cụ thể: Năm 2016 là 10.488 tỷ đồng, năm 2017 là 13.926 tỷ đồng (tăng 32,8% so với năm 2016), năm 2018 là 19.531 tỷ đồng (tăng 40,2% so với năm 2017), năm 2019 là 24.182 tỷ đồng (tăng 23,8% so với năm 2018), năm 2020 là 28.463 tỷ đồng (tăng 17,7% so với năm 2019), năm 2021 là 35.350 tỷ đồng (tăng 24,2% so với năm 2020).</w:t>
      </w:r>
    </w:p>
    <w:p w14:paraId="55CD93DA" w14:textId="5B4AEAD5" w:rsidR="000856FA" w:rsidRPr="00CA504F" w:rsidRDefault="000856FA" w:rsidP="00BC202A">
      <w:pPr>
        <w:pStyle w:val="1"/>
        <w:spacing w:before="120" w:after="0" w:line="276" w:lineRule="auto"/>
        <w:ind w:firstLine="709"/>
        <w:jc w:val="both"/>
        <w:rPr>
          <w:b w:val="0"/>
          <w:sz w:val="28"/>
          <w:szCs w:val="28"/>
          <w:lang w:val="pt-BR"/>
        </w:rPr>
      </w:pPr>
      <w:r w:rsidRPr="00CA504F">
        <w:rPr>
          <w:b w:val="0"/>
          <w:sz w:val="28"/>
          <w:szCs w:val="28"/>
          <w:lang w:val="pt-BR"/>
        </w:rPr>
        <w:t>Ngoài ra, xét theo khía cạnh giới, có thể thấy, số lượng lao động nữ hưởng BHXH một lần luôn cao hơn lao động nam.</w:t>
      </w:r>
    </w:p>
    <w:p w14:paraId="56048E3D" w14:textId="77777777" w:rsidR="005304E5" w:rsidRPr="00CA504F" w:rsidRDefault="005304E5" w:rsidP="00BC202A">
      <w:pPr>
        <w:pStyle w:val="1"/>
        <w:spacing w:before="120" w:after="0" w:line="276" w:lineRule="auto"/>
        <w:ind w:firstLine="709"/>
        <w:jc w:val="both"/>
        <w:rPr>
          <w:b w:val="0"/>
          <w:sz w:val="10"/>
          <w:szCs w:val="28"/>
          <w:lang w:val="pt-BR"/>
        </w:rPr>
      </w:pPr>
    </w:p>
    <w:tbl>
      <w:tblPr>
        <w:tblW w:w="9386" w:type="dxa"/>
        <w:tblLook w:val="04A0" w:firstRow="1" w:lastRow="0" w:firstColumn="1" w:lastColumn="0" w:noHBand="0" w:noVBand="1"/>
      </w:tblPr>
      <w:tblGrid>
        <w:gridCol w:w="711"/>
        <w:gridCol w:w="998"/>
        <w:gridCol w:w="1132"/>
        <w:gridCol w:w="998"/>
        <w:gridCol w:w="1137"/>
        <w:gridCol w:w="1137"/>
        <w:gridCol w:w="1137"/>
        <w:gridCol w:w="1137"/>
        <w:gridCol w:w="999"/>
      </w:tblGrid>
      <w:tr w:rsidR="00CA504F" w:rsidRPr="00CA504F" w14:paraId="5C6A2A29" w14:textId="77777777" w:rsidTr="009C7A19">
        <w:trPr>
          <w:trHeight w:val="379"/>
        </w:trPr>
        <w:tc>
          <w:tcPr>
            <w:tcW w:w="9386" w:type="dxa"/>
            <w:gridSpan w:val="9"/>
            <w:tcBorders>
              <w:top w:val="nil"/>
              <w:left w:val="nil"/>
              <w:bottom w:val="nil"/>
              <w:right w:val="nil"/>
            </w:tcBorders>
            <w:shd w:val="clear" w:color="auto" w:fill="auto"/>
            <w:noWrap/>
            <w:vAlign w:val="bottom"/>
            <w:hideMark/>
          </w:tcPr>
          <w:p w14:paraId="0DF71EED" w14:textId="0661DCDF" w:rsidR="000856FA" w:rsidRPr="00CA504F" w:rsidRDefault="000856FA" w:rsidP="001F4385">
            <w:pPr>
              <w:spacing w:after="60" w:line="360" w:lineRule="auto"/>
              <w:jc w:val="center"/>
              <w:rPr>
                <w:rFonts w:ascii="Times New Roman" w:eastAsia="Times New Roman" w:hAnsi="Times New Roman"/>
                <w:b/>
                <w:bCs/>
                <w:i/>
                <w:sz w:val="28"/>
                <w:szCs w:val="28"/>
              </w:rPr>
            </w:pPr>
            <w:r w:rsidRPr="00CA504F">
              <w:rPr>
                <w:rFonts w:ascii="Times New Roman" w:eastAsia="Times New Roman" w:hAnsi="Times New Roman"/>
                <w:b/>
                <w:bCs/>
                <w:i/>
                <w:sz w:val="28"/>
                <w:szCs w:val="28"/>
              </w:rPr>
              <w:t xml:space="preserve">         </w:t>
            </w:r>
            <w:r w:rsidRPr="00CA504F">
              <w:rPr>
                <w:rFonts w:ascii="Times New Roman" w:eastAsia="Times New Roman" w:hAnsi="Times New Roman"/>
                <w:b/>
                <w:bCs/>
                <w:sz w:val="24"/>
                <w:szCs w:val="28"/>
              </w:rPr>
              <w:t>Bảng 1: Số liệu về số người hưởng, số tiền hưởng BHXH một lần</w:t>
            </w:r>
          </w:p>
        </w:tc>
      </w:tr>
      <w:tr w:rsidR="00CA504F" w:rsidRPr="00CA504F" w14:paraId="624CCE92" w14:textId="77777777" w:rsidTr="009C7A19">
        <w:trPr>
          <w:trHeight w:val="294"/>
        </w:trPr>
        <w:tc>
          <w:tcPr>
            <w:tcW w:w="7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04C58"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Năm</w:t>
            </w:r>
          </w:p>
        </w:tc>
        <w:tc>
          <w:tcPr>
            <w:tcW w:w="4265" w:type="dxa"/>
            <w:gridSpan w:val="4"/>
            <w:tcBorders>
              <w:top w:val="single" w:sz="4" w:space="0" w:color="auto"/>
              <w:left w:val="nil"/>
              <w:bottom w:val="single" w:sz="4" w:space="0" w:color="auto"/>
              <w:right w:val="single" w:sz="4" w:space="0" w:color="auto"/>
            </w:tcBorders>
            <w:shd w:val="clear" w:color="auto" w:fill="auto"/>
            <w:noWrap/>
            <w:vAlign w:val="bottom"/>
            <w:hideMark/>
          </w:tcPr>
          <w:p w14:paraId="0ADDC9ED" w14:textId="5AC78356"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Số người hưởng BHXH một lần</w:t>
            </w:r>
          </w:p>
        </w:tc>
        <w:tc>
          <w:tcPr>
            <w:tcW w:w="4408"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7998499C"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Tổng số tiền hưởng BHXH một lần</w:t>
            </w:r>
          </w:p>
        </w:tc>
      </w:tr>
      <w:tr w:rsidR="00CA504F" w:rsidRPr="00CA504F" w14:paraId="02A7A092" w14:textId="77777777" w:rsidTr="009C7A19">
        <w:trPr>
          <w:trHeight w:val="561"/>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379D9C45" w14:textId="77777777" w:rsidR="000856FA" w:rsidRPr="00CA504F" w:rsidRDefault="000856FA" w:rsidP="000856FA">
            <w:pPr>
              <w:spacing w:after="60" w:line="360" w:lineRule="auto"/>
              <w:jc w:val="both"/>
              <w:rPr>
                <w:rFonts w:ascii="Times New Roman" w:eastAsia="Times New Roman" w:hAnsi="Times New Roman"/>
                <w:b/>
                <w:bCs/>
                <w:sz w:val="24"/>
                <w:szCs w:val="24"/>
              </w:rPr>
            </w:pP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3480C5C1"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 xml:space="preserve">Tổng số </w:t>
            </w:r>
            <w:r w:rsidRPr="00CA504F">
              <w:rPr>
                <w:rFonts w:ascii="Times New Roman" w:eastAsia="Times New Roman" w:hAnsi="Times New Roman"/>
                <w:b/>
                <w:bCs/>
                <w:sz w:val="24"/>
                <w:szCs w:val="24"/>
              </w:rPr>
              <w:br/>
            </w:r>
            <w:r w:rsidRPr="00CA504F">
              <w:rPr>
                <w:rFonts w:ascii="Times New Roman" w:eastAsia="Times New Roman" w:hAnsi="Times New Roman"/>
                <w:b/>
                <w:bCs/>
                <w:i/>
                <w:iCs/>
                <w:sz w:val="24"/>
                <w:szCs w:val="24"/>
              </w:rPr>
              <w:t>(người)</w:t>
            </w:r>
          </w:p>
        </w:tc>
        <w:tc>
          <w:tcPr>
            <w:tcW w:w="1132" w:type="dxa"/>
            <w:vMerge w:val="restart"/>
            <w:tcBorders>
              <w:top w:val="nil"/>
              <w:left w:val="single" w:sz="4" w:space="0" w:color="auto"/>
              <w:bottom w:val="single" w:sz="4" w:space="0" w:color="auto"/>
              <w:right w:val="single" w:sz="4" w:space="0" w:color="auto"/>
            </w:tcBorders>
            <w:shd w:val="clear" w:color="auto" w:fill="auto"/>
            <w:vAlign w:val="center"/>
            <w:hideMark/>
          </w:tcPr>
          <w:p w14:paraId="4B2F49EA"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So sánh với cùng kỳ năm trước</w:t>
            </w:r>
          </w:p>
        </w:tc>
        <w:tc>
          <w:tcPr>
            <w:tcW w:w="2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3376D0"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Trong đó</w:t>
            </w:r>
          </w:p>
        </w:tc>
        <w:tc>
          <w:tcPr>
            <w:tcW w:w="1137" w:type="dxa"/>
            <w:vMerge w:val="restart"/>
            <w:tcBorders>
              <w:top w:val="nil"/>
              <w:left w:val="single" w:sz="4" w:space="0" w:color="auto"/>
              <w:bottom w:val="single" w:sz="4" w:space="0" w:color="auto"/>
              <w:right w:val="single" w:sz="4" w:space="0" w:color="auto"/>
            </w:tcBorders>
            <w:shd w:val="clear" w:color="auto" w:fill="auto"/>
            <w:vAlign w:val="center"/>
            <w:hideMark/>
          </w:tcPr>
          <w:p w14:paraId="0161FD7B"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 xml:space="preserve">Tổng số </w:t>
            </w:r>
            <w:r w:rsidRPr="00CA504F">
              <w:rPr>
                <w:rFonts w:ascii="Times New Roman" w:eastAsia="Times New Roman" w:hAnsi="Times New Roman"/>
                <w:b/>
                <w:bCs/>
                <w:sz w:val="24"/>
                <w:szCs w:val="24"/>
              </w:rPr>
              <w:br/>
            </w:r>
            <w:r w:rsidRPr="00CA504F">
              <w:rPr>
                <w:rFonts w:ascii="Times New Roman" w:eastAsia="Times New Roman" w:hAnsi="Times New Roman"/>
                <w:b/>
                <w:bCs/>
                <w:i/>
                <w:iCs/>
                <w:sz w:val="24"/>
                <w:szCs w:val="24"/>
              </w:rPr>
              <w:t>(tỷ đồng)</w:t>
            </w:r>
          </w:p>
        </w:tc>
        <w:tc>
          <w:tcPr>
            <w:tcW w:w="1137" w:type="dxa"/>
            <w:vMerge w:val="restart"/>
            <w:tcBorders>
              <w:top w:val="nil"/>
              <w:left w:val="single" w:sz="4" w:space="0" w:color="auto"/>
              <w:bottom w:val="single" w:sz="4" w:space="0" w:color="auto"/>
              <w:right w:val="single" w:sz="4" w:space="0" w:color="auto"/>
            </w:tcBorders>
            <w:shd w:val="clear" w:color="auto" w:fill="auto"/>
            <w:vAlign w:val="center"/>
            <w:hideMark/>
          </w:tcPr>
          <w:p w14:paraId="27460B29"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So sánh với cùng kỳ năm trước</w:t>
            </w:r>
          </w:p>
        </w:tc>
        <w:tc>
          <w:tcPr>
            <w:tcW w:w="2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26F591"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Trong đó</w:t>
            </w:r>
          </w:p>
        </w:tc>
      </w:tr>
      <w:tr w:rsidR="00CA504F" w:rsidRPr="00CA504F" w14:paraId="591E1511" w14:textId="77777777" w:rsidTr="009C7A19">
        <w:trPr>
          <w:trHeight w:val="294"/>
        </w:trPr>
        <w:tc>
          <w:tcPr>
            <w:tcW w:w="711" w:type="dxa"/>
            <w:vMerge/>
            <w:tcBorders>
              <w:top w:val="single" w:sz="4" w:space="0" w:color="auto"/>
              <w:left w:val="single" w:sz="4" w:space="0" w:color="auto"/>
              <w:bottom w:val="single" w:sz="4" w:space="0" w:color="auto"/>
              <w:right w:val="single" w:sz="4" w:space="0" w:color="auto"/>
            </w:tcBorders>
            <w:vAlign w:val="center"/>
            <w:hideMark/>
          </w:tcPr>
          <w:p w14:paraId="73C7B796" w14:textId="77777777" w:rsidR="000856FA" w:rsidRPr="00CA504F" w:rsidRDefault="000856FA" w:rsidP="000856FA">
            <w:pPr>
              <w:spacing w:after="60" w:line="360" w:lineRule="auto"/>
              <w:jc w:val="both"/>
              <w:rPr>
                <w:rFonts w:ascii="Times New Roman" w:eastAsia="Times New Roman" w:hAnsi="Times New Roman"/>
                <w:b/>
                <w:bCs/>
                <w:sz w:val="24"/>
                <w:szCs w:val="24"/>
              </w:rPr>
            </w:pPr>
          </w:p>
        </w:tc>
        <w:tc>
          <w:tcPr>
            <w:tcW w:w="998" w:type="dxa"/>
            <w:vMerge/>
            <w:tcBorders>
              <w:top w:val="nil"/>
              <w:left w:val="single" w:sz="4" w:space="0" w:color="auto"/>
              <w:bottom w:val="single" w:sz="4" w:space="0" w:color="auto"/>
              <w:right w:val="single" w:sz="4" w:space="0" w:color="auto"/>
            </w:tcBorders>
            <w:vAlign w:val="center"/>
            <w:hideMark/>
          </w:tcPr>
          <w:p w14:paraId="4FDAD853" w14:textId="77777777" w:rsidR="000856FA" w:rsidRPr="00CA504F" w:rsidRDefault="000856FA" w:rsidP="000856FA">
            <w:pPr>
              <w:spacing w:after="60" w:line="360" w:lineRule="auto"/>
              <w:jc w:val="both"/>
              <w:rPr>
                <w:rFonts w:ascii="Times New Roman" w:eastAsia="Times New Roman" w:hAnsi="Times New Roman"/>
                <w:b/>
                <w:bCs/>
                <w:sz w:val="24"/>
                <w:szCs w:val="24"/>
              </w:rPr>
            </w:pPr>
          </w:p>
        </w:tc>
        <w:tc>
          <w:tcPr>
            <w:tcW w:w="1132" w:type="dxa"/>
            <w:vMerge/>
            <w:tcBorders>
              <w:top w:val="nil"/>
              <w:left w:val="single" w:sz="4" w:space="0" w:color="auto"/>
              <w:bottom w:val="single" w:sz="4" w:space="0" w:color="auto"/>
              <w:right w:val="single" w:sz="4" w:space="0" w:color="auto"/>
            </w:tcBorders>
            <w:vAlign w:val="center"/>
            <w:hideMark/>
          </w:tcPr>
          <w:p w14:paraId="19A9C90A" w14:textId="77777777" w:rsidR="000856FA" w:rsidRPr="00CA504F" w:rsidRDefault="000856FA" w:rsidP="000856FA">
            <w:pPr>
              <w:spacing w:after="60" w:line="360" w:lineRule="auto"/>
              <w:jc w:val="both"/>
              <w:rPr>
                <w:rFonts w:ascii="Times New Roman" w:eastAsia="Times New Roman" w:hAnsi="Times New Roman"/>
                <w:b/>
                <w:bCs/>
                <w:sz w:val="24"/>
                <w:szCs w:val="24"/>
              </w:rPr>
            </w:pPr>
          </w:p>
        </w:tc>
        <w:tc>
          <w:tcPr>
            <w:tcW w:w="998" w:type="dxa"/>
            <w:tcBorders>
              <w:top w:val="nil"/>
              <w:left w:val="nil"/>
              <w:bottom w:val="single" w:sz="4" w:space="0" w:color="auto"/>
              <w:right w:val="single" w:sz="4" w:space="0" w:color="auto"/>
            </w:tcBorders>
            <w:shd w:val="clear" w:color="auto" w:fill="auto"/>
            <w:noWrap/>
            <w:vAlign w:val="bottom"/>
            <w:hideMark/>
          </w:tcPr>
          <w:p w14:paraId="219232CA"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Nam</w:t>
            </w:r>
          </w:p>
        </w:tc>
        <w:tc>
          <w:tcPr>
            <w:tcW w:w="1136" w:type="dxa"/>
            <w:tcBorders>
              <w:top w:val="nil"/>
              <w:left w:val="nil"/>
              <w:bottom w:val="single" w:sz="4" w:space="0" w:color="auto"/>
              <w:right w:val="single" w:sz="4" w:space="0" w:color="auto"/>
            </w:tcBorders>
            <w:shd w:val="clear" w:color="auto" w:fill="auto"/>
            <w:noWrap/>
            <w:vAlign w:val="bottom"/>
            <w:hideMark/>
          </w:tcPr>
          <w:p w14:paraId="00B34508"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Nữ</w:t>
            </w:r>
          </w:p>
        </w:tc>
        <w:tc>
          <w:tcPr>
            <w:tcW w:w="1137" w:type="dxa"/>
            <w:vMerge/>
            <w:tcBorders>
              <w:top w:val="nil"/>
              <w:left w:val="single" w:sz="4" w:space="0" w:color="auto"/>
              <w:bottom w:val="single" w:sz="4" w:space="0" w:color="auto"/>
              <w:right w:val="single" w:sz="4" w:space="0" w:color="auto"/>
            </w:tcBorders>
            <w:vAlign w:val="center"/>
            <w:hideMark/>
          </w:tcPr>
          <w:p w14:paraId="786BE89E" w14:textId="77777777" w:rsidR="000856FA" w:rsidRPr="00CA504F" w:rsidRDefault="000856FA" w:rsidP="000856FA">
            <w:pPr>
              <w:spacing w:after="60" w:line="360" w:lineRule="auto"/>
              <w:jc w:val="both"/>
              <w:rPr>
                <w:rFonts w:ascii="Times New Roman" w:eastAsia="Times New Roman" w:hAnsi="Times New Roman"/>
                <w:b/>
                <w:bCs/>
                <w:sz w:val="24"/>
                <w:szCs w:val="24"/>
              </w:rPr>
            </w:pPr>
          </w:p>
        </w:tc>
        <w:tc>
          <w:tcPr>
            <w:tcW w:w="1137" w:type="dxa"/>
            <w:vMerge/>
            <w:tcBorders>
              <w:top w:val="nil"/>
              <w:left w:val="single" w:sz="4" w:space="0" w:color="auto"/>
              <w:bottom w:val="single" w:sz="4" w:space="0" w:color="auto"/>
              <w:right w:val="single" w:sz="4" w:space="0" w:color="auto"/>
            </w:tcBorders>
            <w:vAlign w:val="center"/>
            <w:hideMark/>
          </w:tcPr>
          <w:p w14:paraId="5EC7F5C0" w14:textId="77777777" w:rsidR="000856FA" w:rsidRPr="00CA504F" w:rsidRDefault="000856FA" w:rsidP="000856FA">
            <w:pPr>
              <w:spacing w:after="60" w:line="360" w:lineRule="auto"/>
              <w:jc w:val="both"/>
              <w:rPr>
                <w:rFonts w:ascii="Times New Roman" w:eastAsia="Times New Roman" w:hAnsi="Times New Roman"/>
                <w:b/>
                <w:bCs/>
                <w:sz w:val="24"/>
                <w:szCs w:val="24"/>
              </w:rPr>
            </w:pPr>
          </w:p>
        </w:tc>
        <w:tc>
          <w:tcPr>
            <w:tcW w:w="1137" w:type="dxa"/>
            <w:tcBorders>
              <w:top w:val="nil"/>
              <w:left w:val="nil"/>
              <w:bottom w:val="single" w:sz="4" w:space="0" w:color="auto"/>
              <w:right w:val="single" w:sz="4" w:space="0" w:color="auto"/>
            </w:tcBorders>
            <w:shd w:val="clear" w:color="auto" w:fill="auto"/>
            <w:noWrap/>
            <w:vAlign w:val="bottom"/>
            <w:hideMark/>
          </w:tcPr>
          <w:p w14:paraId="382BB1F9"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Nam</w:t>
            </w:r>
          </w:p>
        </w:tc>
        <w:tc>
          <w:tcPr>
            <w:tcW w:w="997" w:type="dxa"/>
            <w:tcBorders>
              <w:top w:val="nil"/>
              <w:left w:val="nil"/>
              <w:bottom w:val="single" w:sz="4" w:space="0" w:color="auto"/>
              <w:right w:val="single" w:sz="4" w:space="0" w:color="auto"/>
            </w:tcBorders>
            <w:shd w:val="clear" w:color="auto" w:fill="auto"/>
            <w:noWrap/>
            <w:vAlign w:val="bottom"/>
            <w:hideMark/>
          </w:tcPr>
          <w:p w14:paraId="7F577485"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Nữ</w:t>
            </w:r>
          </w:p>
        </w:tc>
      </w:tr>
      <w:tr w:rsidR="00CA504F" w:rsidRPr="00CA504F" w14:paraId="7AEC6E74" w14:textId="77777777" w:rsidTr="009C7A19">
        <w:trPr>
          <w:trHeight w:val="533"/>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1B05AA" w14:textId="77777777" w:rsidR="000856FA" w:rsidRPr="00CA504F" w:rsidRDefault="000856FA"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t>2016</w:t>
            </w:r>
          </w:p>
        </w:tc>
        <w:tc>
          <w:tcPr>
            <w:tcW w:w="998" w:type="dxa"/>
            <w:tcBorders>
              <w:top w:val="nil"/>
              <w:left w:val="nil"/>
              <w:bottom w:val="single" w:sz="4" w:space="0" w:color="auto"/>
              <w:right w:val="single" w:sz="4" w:space="0" w:color="auto"/>
            </w:tcBorders>
            <w:shd w:val="clear" w:color="auto" w:fill="auto"/>
            <w:noWrap/>
            <w:vAlign w:val="center"/>
            <w:hideMark/>
          </w:tcPr>
          <w:p w14:paraId="11B53875"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500.174</w:t>
            </w:r>
          </w:p>
        </w:tc>
        <w:tc>
          <w:tcPr>
            <w:tcW w:w="1132" w:type="dxa"/>
            <w:tcBorders>
              <w:top w:val="nil"/>
              <w:left w:val="nil"/>
              <w:bottom w:val="single" w:sz="4" w:space="0" w:color="auto"/>
              <w:right w:val="single" w:sz="4" w:space="0" w:color="auto"/>
            </w:tcBorders>
            <w:shd w:val="clear" w:color="auto" w:fill="auto"/>
            <w:noWrap/>
            <w:vAlign w:val="center"/>
            <w:hideMark/>
          </w:tcPr>
          <w:p w14:paraId="704390FB" w14:textId="77777777" w:rsidR="000856FA" w:rsidRPr="00CA504F" w:rsidRDefault="000856FA" w:rsidP="000856FA">
            <w:pPr>
              <w:spacing w:after="60" w:line="360" w:lineRule="auto"/>
              <w:jc w:val="center"/>
              <w:rPr>
                <w:rFonts w:ascii="Times New Roman" w:eastAsia="Times New Roman" w:hAnsi="Times New Roman"/>
                <w:sz w:val="24"/>
                <w:szCs w:val="24"/>
              </w:rPr>
            </w:pPr>
          </w:p>
        </w:tc>
        <w:tc>
          <w:tcPr>
            <w:tcW w:w="998" w:type="dxa"/>
            <w:tcBorders>
              <w:top w:val="nil"/>
              <w:left w:val="nil"/>
              <w:bottom w:val="single" w:sz="4" w:space="0" w:color="auto"/>
              <w:right w:val="single" w:sz="4" w:space="0" w:color="auto"/>
            </w:tcBorders>
            <w:shd w:val="clear" w:color="auto" w:fill="auto"/>
            <w:noWrap/>
            <w:vAlign w:val="center"/>
            <w:hideMark/>
          </w:tcPr>
          <w:p w14:paraId="6B1DDB07"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222.507</w:t>
            </w:r>
          </w:p>
        </w:tc>
        <w:tc>
          <w:tcPr>
            <w:tcW w:w="1136" w:type="dxa"/>
            <w:tcBorders>
              <w:top w:val="nil"/>
              <w:left w:val="nil"/>
              <w:bottom w:val="single" w:sz="4" w:space="0" w:color="auto"/>
              <w:right w:val="single" w:sz="4" w:space="0" w:color="auto"/>
            </w:tcBorders>
            <w:shd w:val="clear" w:color="auto" w:fill="auto"/>
            <w:noWrap/>
            <w:vAlign w:val="center"/>
            <w:hideMark/>
          </w:tcPr>
          <w:p w14:paraId="73688078"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277.667</w:t>
            </w:r>
          </w:p>
        </w:tc>
        <w:tc>
          <w:tcPr>
            <w:tcW w:w="1137" w:type="dxa"/>
            <w:tcBorders>
              <w:top w:val="nil"/>
              <w:left w:val="nil"/>
              <w:bottom w:val="single" w:sz="4" w:space="0" w:color="auto"/>
              <w:right w:val="single" w:sz="4" w:space="0" w:color="auto"/>
            </w:tcBorders>
            <w:shd w:val="clear" w:color="auto" w:fill="auto"/>
            <w:noWrap/>
            <w:vAlign w:val="center"/>
            <w:hideMark/>
          </w:tcPr>
          <w:p w14:paraId="0B156F36"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10.488</w:t>
            </w:r>
          </w:p>
        </w:tc>
        <w:tc>
          <w:tcPr>
            <w:tcW w:w="1137" w:type="dxa"/>
            <w:tcBorders>
              <w:top w:val="nil"/>
              <w:left w:val="nil"/>
              <w:bottom w:val="single" w:sz="4" w:space="0" w:color="auto"/>
              <w:right w:val="single" w:sz="4" w:space="0" w:color="auto"/>
            </w:tcBorders>
            <w:shd w:val="clear" w:color="auto" w:fill="auto"/>
            <w:noWrap/>
            <w:vAlign w:val="center"/>
            <w:hideMark/>
          </w:tcPr>
          <w:p w14:paraId="50582895" w14:textId="77777777" w:rsidR="000856FA" w:rsidRPr="00CA504F" w:rsidRDefault="000856FA" w:rsidP="000856FA">
            <w:pPr>
              <w:spacing w:after="60" w:line="360" w:lineRule="auto"/>
              <w:jc w:val="center"/>
              <w:rPr>
                <w:rFonts w:ascii="Times New Roman" w:eastAsia="Times New Roman" w:hAnsi="Times New Roman"/>
                <w:sz w:val="24"/>
                <w:szCs w:val="24"/>
              </w:rPr>
            </w:pPr>
          </w:p>
        </w:tc>
        <w:tc>
          <w:tcPr>
            <w:tcW w:w="1137" w:type="dxa"/>
            <w:tcBorders>
              <w:top w:val="nil"/>
              <w:left w:val="nil"/>
              <w:bottom w:val="single" w:sz="4" w:space="0" w:color="auto"/>
              <w:right w:val="single" w:sz="4" w:space="0" w:color="auto"/>
            </w:tcBorders>
            <w:shd w:val="clear" w:color="auto" w:fill="auto"/>
            <w:noWrap/>
            <w:vAlign w:val="center"/>
            <w:hideMark/>
          </w:tcPr>
          <w:p w14:paraId="6119BE49"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5.072</w:t>
            </w:r>
          </w:p>
        </w:tc>
        <w:tc>
          <w:tcPr>
            <w:tcW w:w="997" w:type="dxa"/>
            <w:tcBorders>
              <w:top w:val="nil"/>
              <w:left w:val="nil"/>
              <w:bottom w:val="single" w:sz="4" w:space="0" w:color="auto"/>
              <w:right w:val="single" w:sz="4" w:space="0" w:color="auto"/>
            </w:tcBorders>
            <w:shd w:val="clear" w:color="auto" w:fill="auto"/>
            <w:noWrap/>
            <w:vAlign w:val="center"/>
            <w:hideMark/>
          </w:tcPr>
          <w:p w14:paraId="33A5CE69"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5.416</w:t>
            </w:r>
          </w:p>
        </w:tc>
      </w:tr>
      <w:tr w:rsidR="00CA504F" w:rsidRPr="00CA504F" w14:paraId="158842EE" w14:textId="77777777" w:rsidTr="009C7A19">
        <w:trPr>
          <w:trHeight w:val="533"/>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64FF3" w14:textId="77777777" w:rsidR="000856FA" w:rsidRPr="00CA504F" w:rsidRDefault="000856FA"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t>2017</w:t>
            </w:r>
          </w:p>
        </w:tc>
        <w:tc>
          <w:tcPr>
            <w:tcW w:w="998" w:type="dxa"/>
            <w:tcBorders>
              <w:top w:val="nil"/>
              <w:left w:val="nil"/>
              <w:bottom w:val="single" w:sz="4" w:space="0" w:color="auto"/>
              <w:right w:val="single" w:sz="4" w:space="0" w:color="auto"/>
            </w:tcBorders>
            <w:shd w:val="clear" w:color="auto" w:fill="auto"/>
            <w:noWrap/>
            <w:vAlign w:val="center"/>
            <w:hideMark/>
          </w:tcPr>
          <w:p w14:paraId="19460834"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560.137</w:t>
            </w:r>
          </w:p>
        </w:tc>
        <w:tc>
          <w:tcPr>
            <w:tcW w:w="1132" w:type="dxa"/>
            <w:tcBorders>
              <w:top w:val="nil"/>
              <w:left w:val="nil"/>
              <w:bottom w:val="single" w:sz="4" w:space="0" w:color="auto"/>
              <w:right w:val="single" w:sz="4" w:space="0" w:color="auto"/>
            </w:tcBorders>
            <w:shd w:val="clear" w:color="auto" w:fill="auto"/>
            <w:noWrap/>
            <w:vAlign w:val="center"/>
            <w:hideMark/>
          </w:tcPr>
          <w:p w14:paraId="2EB56E16"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11,99%</w:t>
            </w:r>
          </w:p>
        </w:tc>
        <w:tc>
          <w:tcPr>
            <w:tcW w:w="998" w:type="dxa"/>
            <w:tcBorders>
              <w:top w:val="nil"/>
              <w:left w:val="nil"/>
              <w:bottom w:val="single" w:sz="4" w:space="0" w:color="auto"/>
              <w:right w:val="single" w:sz="4" w:space="0" w:color="auto"/>
            </w:tcBorders>
            <w:shd w:val="clear" w:color="auto" w:fill="auto"/>
            <w:noWrap/>
            <w:vAlign w:val="center"/>
            <w:hideMark/>
          </w:tcPr>
          <w:p w14:paraId="014D0881"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252.538</w:t>
            </w:r>
          </w:p>
        </w:tc>
        <w:tc>
          <w:tcPr>
            <w:tcW w:w="1136" w:type="dxa"/>
            <w:tcBorders>
              <w:top w:val="nil"/>
              <w:left w:val="nil"/>
              <w:bottom w:val="single" w:sz="4" w:space="0" w:color="auto"/>
              <w:right w:val="single" w:sz="4" w:space="0" w:color="auto"/>
            </w:tcBorders>
            <w:shd w:val="clear" w:color="auto" w:fill="auto"/>
            <w:noWrap/>
            <w:vAlign w:val="center"/>
            <w:hideMark/>
          </w:tcPr>
          <w:p w14:paraId="034BED6C"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307.599</w:t>
            </w:r>
          </w:p>
        </w:tc>
        <w:tc>
          <w:tcPr>
            <w:tcW w:w="1137" w:type="dxa"/>
            <w:tcBorders>
              <w:top w:val="nil"/>
              <w:left w:val="nil"/>
              <w:bottom w:val="single" w:sz="4" w:space="0" w:color="auto"/>
              <w:right w:val="single" w:sz="4" w:space="0" w:color="auto"/>
            </w:tcBorders>
            <w:shd w:val="clear" w:color="auto" w:fill="auto"/>
            <w:noWrap/>
            <w:vAlign w:val="center"/>
            <w:hideMark/>
          </w:tcPr>
          <w:p w14:paraId="12DFF053"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13.926</w:t>
            </w:r>
          </w:p>
        </w:tc>
        <w:tc>
          <w:tcPr>
            <w:tcW w:w="1137" w:type="dxa"/>
            <w:tcBorders>
              <w:top w:val="nil"/>
              <w:left w:val="nil"/>
              <w:bottom w:val="single" w:sz="4" w:space="0" w:color="auto"/>
              <w:right w:val="single" w:sz="4" w:space="0" w:color="auto"/>
            </w:tcBorders>
            <w:shd w:val="clear" w:color="auto" w:fill="auto"/>
            <w:noWrap/>
            <w:vAlign w:val="center"/>
            <w:hideMark/>
          </w:tcPr>
          <w:p w14:paraId="341365F2"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32,78%</w:t>
            </w:r>
          </w:p>
        </w:tc>
        <w:tc>
          <w:tcPr>
            <w:tcW w:w="1137" w:type="dxa"/>
            <w:tcBorders>
              <w:top w:val="nil"/>
              <w:left w:val="nil"/>
              <w:bottom w:val="single" w:sz="4" w:space="0" w:color="auto"/>
              <w:right w:val="single" w:sz="4" w:space="0" w:color="auto"/>
            </w:tcBorders>
            <w:shd w:val="clear" w:color="auto" w:fill="auto"/>
            <w:noWrap/>
            <w:vAlign w:val="center"/>
            <w:hideMark/>
          </w:tcPr>
          <w:p w14:paraId="673AD289"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6.808</w:t>
            </w:r>
          </w:p>
        </w:tc>
        <w:tc>
          <w:tcPr>
            <w:tcW w:w="997" w:type="dxa"/>
            <w:tcBorders>
              <w:top w:val="nil"/>
              <w:left w:val="nil"/>
              <w:bottom w:val="single" w:sz="4" w:space="0" w:color="auto"/>
              <w:right w:val="single" w:sz="4" w:space="0" w:color="auto"/>
            </w:tcBorders>
            <w:shd w:val="clear" w:color="auto" w:fill="auto"/>
            <w:noWrap/>
            <w:vAlign w:val="center"/>
            <w:hideMark/>
          </w:tcPr>
          <w:p w14:paraId="56ABBD41"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7.118</w:t>
            </w:r>
          </w:p>
        </w:tc>
      </w:tr>
      <w:tr w:rsidR="00CA504F" w:rsidRPr="00CA504F" w14:paraId="4BCAF006" w14:textId="77777777" w:rsidTr="009C7A19">
        <w:trPr>
          <w:trHeight w:val="533"/>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7C4F8C" w14:textId="77777777" w:rsidR="000856FA" w:rsidRPr="00CA504F" w:rsidRDefault="000856FA"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t>2018</w:t>
            </w:r>
          </w:p>
        </w:tc>
        <w:tc>
          <w:tcPr>
            <w:tcW w:w="998" w:type="dxa"/>
            <w:tcBorders>
              <w:top w:val="nil"/>
              <w:left w:val="nil"/>
              <w:bottom w:val="single" w:sz="4" w:space="0" w:color="auto"/>
              <w:right w:val="single" w:sz="4" w:space="0" w:color="auto"/>
            </w:tcBorders>
            <w:shd w:val="clear" w:color="auto" w:fill="auto"/>
            <w:noWrap/>
            <w:vAlign w:val="center"/>
            <w:hideMark/>
          </w:tcPr>
          <w:p w14:paraId="67047257"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666.482</w:t>
            </w:r>
          </w:p>
        </w:tc>
        <w:tc>
          <w:tcPr>
            <w:tcW w:w="1132" w:type="dxa"/>
            <w:tcBorders>
              <w:top w:val="nil"/>
              <w:left w:val="nil"/>
              <w:bottom w:val="single" w:sz="4" w:space="0" w:color="auto"/>
              <w:right w:val="single" w:sz="4" w:space="0" w:color="auto"/>
            </w:tcBorders>
            <w:shd w:val="clear" w:color="auto" w:fill="auto"/>
            <w:noWrap/>
            <w:vAlign w:val="center"/>
            <w:hideMark/>
          </w:tcPr>
          <w:p w14:paraId="30A3748F"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18,99%</w:t>
            </w:r>
          </w:p>
        </w:tc>
        <w:tc>
          <w:tcPr>
            <w:tcW w:w="998" w:type="dxa"/>
            <w:tcBorders>
              <w:top w:val="nil"/>
              <w:left w:val="nil"/>
              <w:bottom w:val="single" w:sz="4" w:space="0" w:color="auto"/>
              <w:right w:val="single" w:sz="4" w:space="0" w:color="auto"/>
            </w:tcBorders>
            <w:shd w:val="clear" w:color="auto" w:fill="auto"/>
            <w:noWrap/>
            <w:vAlign w:val="center"/>
            <w:hideMark/>
          </w:tcPr>
          <w:p w14:paraId="09BB5C95"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306.215</w:t>
            </w:r>
          </w:p>
        </w:tc>
        <w:tc>
          <w:tcPr>
            <w:tcW w:w="1136" w:type="dxa"/>
            <w:tcBorders>
              <w:top w:val="nil"/>
              <w:left w:val="nil"/>
              <w:bottom w:val="single" w:sz="4" w:space="0" w:color="auto"/>
              <w:right w:val="single" w:sz="4" w:space="0" w:color="auto"/>
            </w:tcBorders>
            <w:shd w:val="clear" w:color="auto" w:fill="auto"/>
            <w:noWrap/>
            <w:vAlign w:val="center"/>
            <w:hideMark/>
          </w:tcPr>
          <w:p w14:paraId="73DB704E"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360.267</w:t>
            </w:r>
          </w:p>
        </w:tc>
        <w:tc>
          <w:tcPr>
            <w:tcW w:w="1137" w:type="dxa"/>
            <w:tcBorders>
              <w:top w:val="nil"/>
              <w:left w:val="nil"/>
              <w:bottom w:val="single" w:sz="4" w:space="0" w:color="auto"/>
              <w:right w:val="single" w:sz="4" w:space="0" w:color="auto"/>
            </w:tcBorders>
            <w:shd w:val="clear" w:color="auto" w:fill="auto"/>
            <w:noWrap/>
            <w:vAlign w:val="center"/>
            <w:hideMark/>
          </w:tcPr>
          <w:p w14:paraId="447058AC"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19.531</w:t>
            </w:r>
          </w:p>
        </w:tc>
        <w:tc>
          <w:tcPr>
            <w:tcW w:w="1137" w:type="dxa"/>
            <w:tcBorders>
              <w:top w:val="nil"/>
              <w:left w:val="nil"/>
              <w:bottom w:val="single" w:sz="4" w:space="0" w:color="auto"/>
              <w:right w:val="single" w:sz="4" w:space="0" w:color="auto"/>
            </w:tcBorders>
            <w:shd w:val="clear" w:color="auto" w:fill="auto"/>
            <w:noWrap/>
            <w:vAlign w:val="center"/>
            <w:hideMark/>
          </w:tcPr>
          <w:p w14:paraId="25068D89"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40,25%</w:t>
            </w:r>
          </w:p>
        </w:tc>
        <w:tc>
          <w:tcPr>
            <w:tcW w:w="1137" w:type="dxa"/>
            <w:tcBorders>
              <w:top w:val="nil"/>
              <w:left w:val="nil"/>
              <w:bottom w:val="single" w:sz="4" w:space="0" w:color="auto"/>
              <w:right w:val="single" w:sz="4" w:space="0" w:color="auto"/>
            </w:tcBorders>
            <w:shd w:val="clear" w:color="auto" w:fill="auto"/>
            <w:noWrap/>
            <w:vAlign w:val="center"/>
            <w:hideMark/>
          </w:tcPr>
          <w:p w14:paraId="07708C73"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9.452</w:t>
            </w:r>
          </w:p>
        </w:tc>
        <w:tc>
          <w:tcPr>
            <w:tcW w:w="997" w:type="dxa"/>
            <w:tcBorders>
              <w:top w:val="nil"/>
              <w:left w:val="nil"/>
              <w:bottom w:val="single" w:sz="4" w:space="0" w:color="auto"/>
              <w:right w:val="single" w:sz="4" w:space="0" w:color="auto"/>
            </w:tcBorders>
            <w:shd w:val="clear" w:color="auto" w:fill="auto"/>
            <w:noWrap/>
            <w:vAlign w:val="center"/>
            <w:hideMark/>
          </w:tcPr>
          <w:p w14:paraId="03C8DCCA"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10.079</w:t>
            </w:r>
          </w:p>
        </w:tc>
      </w:tr>
      <w:tr w:rsidR="00CA504F" w:rsidRPr="00CA504F" w14:paraId="019ACAFD" w14:textId="77777777" w:rsidTr="009C7A19">
        <w:trPr>
          <w:trHeight w:val="533"/>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66EA53" w14:textId="77777777" w:rsidR="000856FA" w:rsidRPr="00CA504F" w:rsidRDefault="000856FA"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t>2019</w:t>
            </w:r>
          </w:p>
        </w:tc>
        <w:tc>
          <w:tcPr>
            <w:tcW w:w="998" w:type="dxa"/>
            <w:tcBorders>
              <w:top w:val="nil"/>
              <w:left w:val="nil"/>
              <w:bottom w:val="single" w:sz="4" w:space="0" w:color="auto"/>
              <w:right w:val="single" w:sz="4" w:space="0" w:color="auto"/>
            </w:tcBorders>
            <w:shd w:val="clear" w:color="auto" w:fill="auto"/>
            <w:noWrap/>
            <w:vAlign w:val="center"/>
            <w:hideMark/>
          </w:tcPr>
          <w:p w14:paraId="5E384B51"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707.184</w:t>
            </w:r>
          </w:p>
        </w:tc>
        <w:tc>
          <w:tcPr>
            <w:tcW w:w="1132" w:type="dxa"/>
            <w:tcBorders>
              <w:top w:val="nil"/>
              <w:left w:val="nil"/>
              <w:bottom w:val="single" w:sz="4" w:space="0" w:color="auto"/>
              <w:right w:val="single" w:sz="4" w:space="0" w:color="auto"/>
            </w:tcBorders>
            <w:shd w:val="clear" w:color="auto" w:fill="auto"/>
            <w:noWrap/>
            <w:vAlign w:val="center"/>
            <w:hideMark/>
          </w:tcPr>
          <w:p w14:paraId="30AE421C"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6,11%</w:t>
            </w:r>
          </w:p>
        </w:tc>
        <w:tc>
          <w:tcPr>
            <w:tcW w:w="998" w:type="dxa"/>
            <w:tcBorders>
              <w:top w:val="nil"/>
              <w:left w:val="nil"/>
              <w:bottom w:val="single" w:sz="4" w:space="0" w:color="auto"/>
              <w:right w:val="single" w:sz="4" w:space="0" w:color="auto"/>
            </w:tcBorders>
            <w:shd w:val="clear" w:color="auto" w:fill="auto"/>
            <w:noWrap/>
            <w:vAlign w:val="center"/>
            <w:hideMark/>
          </w:tcPr>
          <w:p w14:paraId="282B044A"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320.709</w:t>
            </w:r>
          </w:p>
        </w:tc>
        <w:tc>
          <w:tcPr>
            <w:tcW w:w="1136" w:type="dxa"/>
            <w:tcBorders>
              <w:top w:val="nil"/>
              <w:left w:val="nil"/>
              <w:bottom w:val="single" w:sz="4" w:space="0" w:color="auto"/>
              <w:right w:val="single" w:sz="4" w:space="0" w:color="auto"/>
            </w:tcBorders>
            <w:shd w:val="clear" w:color="auto" w:fill="auto"/>
            <w:noWrap/>
            <w:vAlign w:val="center"/>
            <w:hideMark/>
          </w:tcPr>
          <w:p w14:paraId="155055BD"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386.475</w:t>
            </w:r>
          </w:p>
        </w:tc>
        <w:tc>
          <w:tcPr>
            <w:tcW w:w="1137" w:type="dxa"/>
            <w:tcBorders>
              <w:top w:val="nil"/>
              <w:left w:val="nil"/>
              <w:bottom w:val="single" w:sz="4" w:space="0" w:color="auto"/>
              <w:right w:val="single" w:sz="4" w:space="0" w:color="auto"/>
            </w:tcBorders>
            <w:shd w:val="clear" w:color="auto" w:fill="auto"/>
            <w:noWrap/>
            <w:vAlign w:val="center"/>
            <w:hideMark/>
          </w:tcPr>
          <w:p w14:paraId="45F5F8BE"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24.182</w:t>
            </w:r>
          </w:p>
        </w:tc>
        <w:tc>
          <w:tcPr>
            <w:tcW w:w="1137" w:type="dxa"/>
            <w:tcBorders>
              <w:top w:val="nil"/>
              <w:left w:val="nil"/>
              <w:bottom w:val="single" w:sz="4" w:space="0" w:color="auto"/>
              <w:right w:val="single" w:sz="4" w:space="0" w:color="auto"/>
            </w:tcBorders>
            <w:shd w:val="clear" w:color="auto" w:fill="auto"/>
            <w:noWrap/>
            <w:vAlign w:val="center"/>
            <w:hideMark/>
          </w:tcPr>
          <w:p w14:paraId="08547D00"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23,81%</w:t>
            </w:r>
          </w:p>
        </w:tc>
        <w:tc>
          <w:tcPr>
            <w:tcW w:w="1137" w:type="dxa"/>
            <w:tcBorders>
              <w:top w:val="nil"/>
              <w:left w:val="nil"/>
              <w:bottom w:val="single" w:sz="4" w:space="0" w:color="auto"/>
              <w:right w:val="single" w:sz="4" w:space="0" w:color="auto"/>
            </w:tcBorders>
            <w:shd w:val="clear" w:color="auto" w:fill="auto"/>
            <w:noWrap/>
            <w:vAlign w:val="center"/>
            <w:hideMark/>
          </w:tcPr>
          <w:p w14:paraId="2C4C12A9"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11.377</w:t>
            </w:r>
          </w:p>
        </w:tc>
        <w:tc>
          <w:tcPr>
            <w:tcW w:w="997" w:type="dxa"/>
            <w:tcBorders>
              <w:top w:val="nil"/>
              <w:left w:val="nil"/>
              <w:bottom w:val="single" w:sz="4" w:space="0" w:color="auto"/>
              <w:right w:val="single" w:sz="4" w:space="0" w:color="auto"/>
            </w:tcBorders>
            <w:shd w:val="clear" w:color="auto" w:fill="auto"/>
            <w:noWrap/>
            <w:vAlign w:val="center"/>
            <w:hideMark/>
          </w:tcPr>
          <w:p w14:paraId="7D74B6EE"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12.805</w:t>
            </w:r>
          </w:p>
        </w:tc>
      </w:tr>
      <w:tr w:rsidR="00CA504F" w:rsidRPr="00CA504F" w14:paraId="22E8E67B" w14:textId="77777777" w:rsidTr="009C7A19">
        <w:trPr>
          <w:trHeight w:val="533"/>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6A0F92" w14:textId="77777777" w:rsidR="000856FA" w:rsidRPr="00CA504F" w:rsidRDefault="000856FA"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t>2020</w:t>
            </w:r>
          </w:p>
        </w:tc>
        <w:tc>
          <w:tcPr>
            <w:tcW w:w="998" w:type="dxa"/>
            <w:tcBorders>
              <w:top w:val="nil"/>
              <w:left w:val="nil"/>
              <w:bottom w:val="single" w:sz="4" w:space="0" w:color="auto"/>
              <w:right w:val="single" w:sz="4" w:space="0" w:color="auto"/>
            </w:tcBorders>
            <w:shd w:val="clear" w:color="auto" w:fill="auto"/>
            <w:noWrap/>
            <w:vAlign w:val="center"/>
            <w:hideMark/>
          </w:tcPr>
          <w:p w14:paraId="41E42EB4"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761.081</w:t>
            </w:r>
          </w:p>
        </w:tc>
        <w:tc>
          <w:tcPr>
            <w:tcW w:w="1132" w:type="dxa"/>
            <w:tcBorders>
              <w:top w:val="nil"/>
              <w:left w:val="nil"/>
              <w:bottom w:val="single" w:sz="4" w:space="0" w:color="auto"/>
              <w:right w:val="single" w:sz="4" w:space="0" w:color="auto"/>
            </w:tcBorders>
            <w:shd w:val="clear" w:color="auto" w:fill="auto"/>
            <w:noWrap/>
            <w:vAlign w:val="center"/>
            <w:hideMark/>
          </w:tcPr>
          <w:p w14:paraId="69E08C7D"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7,62%</w:t>
            </w:r>
          </w:p>
        </w:tc>
        <w:tc>
          <w:tcPr>
            <w:tcW w:w="998" w:type="dxa"/>
            <w:tcBorders>
              <w:top w:val="nil"/>
              <w:left w:val="nil"/>
              <w:bottom w:val="single" w:sz="4" w:space="0" w:color="auto"/>
              <w:right w:val="single" w:sz="4" w:space="0" w:color="auto"/>
            </w:tcBorders>
            <w:shd w:val="clear" w:color="auto" w:fill="auto"/>
            <w:noWrap/>
            <w:vAlign w:val="center"/>
            <w:hideMark/>
          </w:tcPr>
          <w:p w14:paraId="667A7884"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347.515</w:t>
            </w:r>
          </w:p>
        </w:tc>
        <w:tc>
          <w:tcPr>
            <w:tcW w:w="1136" w:type="dxa"/>
            <w:tcBorders>
              <w:top w:val="nil"/>
              <w:left w:val="nil"/>
              <w:bottom w:val="single" w:sz="4" w:space="0" w:color="auto"/>
              <w:right w:val="single" w:sz="4" w:space="0" w:color="auto"/>
            </w:tcBorders>
            <w:shd w:val="clear" w:color="auto" w:fill="auto"/>
            <w:noWrap/>
            <w:vAlign w:val="center"/>
            <w:hideMark/>
          </w:tcPr>
          <w:p w14:paraId="036E4962"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413.566</w:t>
            </w:r>
          </w:p>
        </w:tc>
        <w:tc>
          <w:tcPr>
            <w:tcW w:w="1137" w:type="dxa"/>
            <w:tcBorders>
              <w:top w:val="nil"/>
              <w:left w:val="nil"/>
              <w:bottom w:val="single" w:sz="4" w:space="0" w:color="auto"/>
              <w:right w:val="single" w:sz="4" w:space="0" w:color="auto"/>
            </w:tcBorders>
            <w:shd w:val="clear" w:color="auto" w:fill="auto"/>
            <w:noWrap/>
            <w:vAlign w:val="center"/>
            <w:hideMark/>
          </w:tcPr>
          <w:p w14:paraId="3901D785"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28.463</w:t>
            </w:r>
          </w:p>
        </w:tc>
        <w:tc>
          <w:tcPr>
            <w:tcW w:w="1137" w:type="dxa"/>
            <w:tcBorders>
              <w:top w:val="nil"/>
              <w:left w:val="nil"/>
              <w:bottom w:val="single" w:sz="4" w:space="0" w:color="auto"/>
              <w:right w:val="single" w:sz="4" w:space="0" w:color="auto"/>
            </w:tcBorders>
            <w:shd w:val="clear" w:color="auto" w:fill="auto"/>
            <w:noWrap/>
            <w:vAlign w:val="center"/>
            <w:hideMark/>
          </w:tcPr>
          <w:p w14:paraId="16B5D585"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17,70%</w:t>
            </w:r>
          </w:p>
        </w:tc>
        <w:tc>
          <w:tcPr>
            <w:tcW w:w="1137" w:type="dxa"/>
            <w:tcBorders>
              <w:top w:val="nil"/>
              <w:left w:val="nil"/>
              <w:bottom w:val="single" w:sz="4" w:space="0" w:color="auto"/>
              <w:right w:val="single" w:sz="4" w:space="0" w:color="auto"/>
            </w:tcBorders>
            <w:shd w:val="clear" w:color="auto" w:fill="auto"/>
            <w:noWrap/>
            <w:vAlign w:val="center"/>
            <w:hideMark/>
          </w:tcPr>
          <w:p w14:paraId="58CD1EBD"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13.176</w:t>
            </w:r>
          </w:p>
        </w:tc>
        <w:tc>
          <w:tcPr>
            <w:tcW w:w="997" w:type="dxa"/>
            <w:tcBorders>
              <w:top w:val="nil"/>
              <w:left w:val="nil"/>
              <w:bottom w:val="single" w:sz="4" w:space="0" w:color="auto"/>
              <w:right w:val="single" w:sz="4" w:space="0" w:color="auto"/>
            </w:tcBorders>
            <w:shd w:val="clear" w:color="auto" w:fill="auto"/>
            <w:noWrap/>
            <w:vAlign w:val="center"/>
            <w:hideMark/>
          </w:tcPr>
          <w:p w14:paraId="5021272E"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15.287</w:t>
            </w:r>
          </w:p>
        </w:tc>
      </w:tr>
      <w:tr w:rsidR="00CA504F" w:rsidRPr="00CA504F" w14:paraId="79FE62A7" w14:textId="77777777" w:rsidTr="009C7A19">
        <w:trPr>
          <w:trHeight w:val="533"/>
        </w:trPr>
        <w:tc>
          <w:tcPr>
            <w:tcW w:w="711" w:type="dxa"/>
            <w:tcBorders>
              <w:top w:val="nil"/>
              <w:left w:val="single" w:sz="4" w:space="0" w:color="auto"/>
              <w:bottom w:val="nil"/>
              <w:right w:val="single" w:sz="4" w:space="0" w:color="auto"/>
            </w:tcBorders>
            <w:shd w:val="clear" w:color="auto" w:fill="auto"/>
            <w:noWrap/>
            <w:vAlign w:val="center"/>
            <w:hideMark/>
          </w:tcPr>
          <w:p w14:paraId="5BDEBD32" w14:textId="77777777" w:rsidR="000856FA" w:rsidRPr="00CA504F" w:rsidRDefault="000856FA"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t>2021</w:t>
            </w:r>
          </w:p>
        </w:tc>
        <w:tc>
          <w:tcPr>
            <w:tcW w:w="998" w:type="dxa"/>
            <w:tcBorders>
              <w:top w:val="nil"/>
              <w:left w:val="nil"/>
              <w:bottom w:val="nil"/>
              <w:right w:val="single" w:sz="4" w:space="0" w:color="auto"/>
            </w:tcBorders>
            <w:shd w:val="clear" w:color="auto" w:fill="auto"/>
            <w:noWrap/>
            <w:vAlign w:val="center"/>
            <w:hideMark/>
          </w:tcPr>
          <w:p w14:paraId="0B0D1011"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863.259</w:t>
            </w:r>
          </w:p>
        </w:tc>
        <w:tc>
          <w:tcPr>
            <w:tcW w:w="1132" w:type="dxa"/>
            <w:tcBorders>
              <w:top w:val="nil"/>
              <w:left w:val="nil"/>
              <w:bottom w:val="nil"/>
              <w:right w:val="single" w:sz="4" w:space="0" w:color="auto"/>
            </w:tcBorders>
            <w:shd w:val="clear" w:color="auto" w:fill="auto"/>
            <w:noWrap/>
            <w:vAlign w:val="center"/>
            <w:hideMark/>
          </w:tcPr>
          <w:p w14:paraId="0F2E1B0B"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13,43%</w:t>
            </w:r>
          </w:p>
        </w:tc>
        <w:tc>
          <w:tcPr>
            <w:tcW w:w="998" w:type="dxa"/>
            <w:tcBorders>
              <w:top w:val="nil"/>
              <w:left w:val="nil"/>
              <w:bottom w:val="nil"/>
              <w:right w:val="single" w:sz="4" w:space="0" w:color="auto"/>
            </w:tcBorders>
            <w:shd w:val="clear" w:color="auto" w:fill="auto"/>
            <w:noWrap/>
            <w:vAlign w:val="center"/>
            <w:hideMark/>
          </w:tcPr>
          <w:p w14:paraId="76D037AE" w14:textId="77777777" w:rsidR="000856FA" w:rsidRPr="00CA504F" w:rsidRDefault="000856FA" w:rsidP="000856FA">
            <w:pPr>
              <w:spacing w:after="60" w:line="360" w:lineRule="auto"/>
              <w:jc w:val="center"/>
              <w:rPr>
                <w:rFonts w:ascii="Times New Roman" w:eastAsia="Times New Roman" w:hAnsi="Times New Roman"/>
                <w:sz w:val="24"/>
                <w:szCs w:val="24"/>
              </w:rPr>
            </w:pPr>
            <w:bookmarkStart w:id="1" w:name="OLE_LINK1"/>
            <w:r w:rsidRPr="00CA504F">
              <w:rPr>
                <w:rFonts w:ascii="Times New Roman" w:eastAsia="Times New Roman" w:hAnsi="Times New Roman"/>
                <w:sz w:val="24"/>
                <w:szCs w:val="24"/>
              </w:rPr>
              <w:t>384.385</w:t>
            </w:r>
            <w:bookmarkEnd w:id="1"/>
          </w:p>
        </w:tc>
        <w:tc>
          <w:tcPr>
            <w:tcW w:w="1136" w:type="dxa"/>
            <w:tcBorders>
              <w:top w:val="nil"/>
              <w:left w:val="nil"/>
              <w:bottom w:val="nil"/>
              <w:right w:val="single" w:sz="4" w:space="0" w:color="auto"/>
            </w:tcBorders>
            <w:shd w:val="clear" w:color="auto" w:fill="auto"/>
            <w:noWrap/>
            <w:vAlign w:val="center"/>
            <w:hideMark/>
          </w:tcPr>
          <w:p w14:paraId="2CF50161"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478.874</w:t>
            </w:r>
          </w:p>
        </w:tc>
        <w:tc>
          <w:tcPr>
            <w:tcW w:w="1137" w:type="dxa"/>
            <w:tcBorders>
              <w:top w:val="nil"/>
              <w:left w:val="nil"/>
              <w:bottom w:val="nil"/>
              <w:right w:val="single" w:sz="4" w:space="0" w:color="auto"/>
            </w:tcBorders>
            <w:shd w:val="clear" w:color="auto" w:fill="auto"/>
            <w:noWrap/>
            <w:vAlign w:val="center"/>
            <w:hideMark/>
          </w:tcPr>
          <w:p w14:paraId="4E42A0C2"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35.350</w:t>
            </w:r>
          </w:p>
        </w:tc>
        <w:tc>
          <w:tcPr>
            <w:tcW w:w="1137" w:type="dxa"/>
            <w:tcBorders>
              <w:top w:val="nil"/>
              <w:left w:val="nil"/>
              <w:bottom w:val="nil"/>
              <w:right w:val="single" w:sz="4" w:space="0" w:color="auto"/>
            </w:tcBorders>
            <w:shd w:val="clear" w:color="auto" w:fill="auto"/>
            <w:noWrap/>
            <w:vAlign w:val="center"/>
            <w:hideMark/>
          </w:tcPr>
          <w:p w14:paraId="6D1E06FE"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24,20%</w:t>
            </w:r>
          </w:p>
        </w:tc>
        <w:tc>
          <w:tcPr>
            <w:tcW w:w="1137" w:type="dxa"/>
            <w:tcBorders>
              <w:top w:val="nil"/>
              <w:left w:val="nil"/>
              <w:bottom w:val="nil"/>
              <w:right w:val="single" w:sz="4" w:space="0" w:color="auto"/>
            </w:tcBorders>
            <w:shd w:val="clear" w:color="auto" w:fill="auto"/>
            <w:noWrap/>
            <w:vAlign w:val="center"/>
            <w:hideMark/>
          </w:tcPr>
          <w:p w14:paraId="33FF3A48"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15.506</w:t>
            </w:r>
          </w:p>
        </w:tc>
        <w:tc>
          <w:tcPr>
            <w:tcW w:w="997" w:type="dxa"/>
            <w:tcBorders>
              <w:top w:val="nil"/>
              <w:left w:val="nil"/>
              <w:bottom w:val="nil"/>
              <w:right w:val="single" w:sz="4" w:space="0" w:color="auto"/>
            </w:tcBorders>
            <w:shd w:val="clear" w:color="auto" w:fill="auto"/>
            <w:noWrap/>
            <w:vAlign w:val="center"/>
            <w:hideMark/>
          </w:tcPr>
          <w:p w14:paraId="616BA74F"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19.844</w:t>
            </w:r>
          </w:p>
        </w:tc>
      </w:tr>
      <w:tr w:rsidR="00CA504F" w:rsidRPr="00CA504F" w14:paraId="0AA8D78F" w14:textId="77777777" w:rsidTr="009C7A19">
        <w:trPr>
          <w:trHeight w:val="533"/>
        </w:trPr>
        <w:tc>
          <w:tcPr>
            <w:tcW w:w="711" w:type="dxa"/>
            <w:tcBorders>
              <w:top w:val="nil"/>
              <w:left w:val="single" w:sz="4" w:space="0" w:color="auto"/>
              <w:bottom w:val="single" w:sz="4" w:space="0" w:color="auto"/>
              <w:right w:val="single" w:sz="4" w:space="0" w:color="auto"/>
            </w:tcBorders>
            <w:shd w:val="clear" w:color="auto" w:fill="auto"/>
            <w:noWrap/>
            <w:vAlign w:val="center"/>
          </w:tcPr>
          <w:p w14:paraId="6EBEA192" w14:textId="4FDAD937" w:rsidR="00FD373D" w:rsidRPr="00CA504F" w:rsidRDefault="00FD373D"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t>2022</w:t>
            </w:r>
          </w:p>
        </w:tc>
        <w:tc>
          <w:tcPr>
            <w:tcW w:w="998" w:type="dxa"/>
            <w:tcBorders>
              <w:top w:val="nil"/>
              <w:left w:val="nil"/>
              <w:bottom w:val="single" w:sz="4" w:space="0" w:color="auto"/>
              <w:right w:val="single" w:sz="4" w:space="0" w:color="auto"/>
            </w:tcBorders>
            <w:shd w:val="clear" w:color="auto" w:fill="auto"/>
            <w:noWrap/>
            <w:vAlign w:val="center"/>
          </w:tcPr>
          <w:p w14:paraId="224959AC" w14:textId="7A284E58" w:rsidR="00FD373D" w:rsidRPr="00CA504F" w:rsidRDefault="009C7A19"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8</w:t>
            </w:r>
            <w:r w:rsidR="00FD373D" w:rsidRPr="00CA504F">
              <w:rPr>
                <w:rFonts w:ascii="Times New Roman" w:eastAsia="Times New Roman" w:hAnsi="Times New Roman"/>
                <w:sz w:val="24"/>
                <w:szCs w:val="24"/>
              </w:rPr>
              <w:t>97.4</w:t>
            </w:r>
            <w:r w:rsidRPr="00CA504F">
              <w:rPr>
                <w:rFonts w:ascii="Times New Roman" w:eastAsia="Times New Roman" w:hAnsi="Times New Roman"/>
                <w:sz w:val="24"/>
                <w:szCs w:val="24"/>
              </w:rPr>
              <w:t>87</w:t>
            </w:r>
          </w:p>
        </w:tc>
        <w:tc>
          <w:tcPr>
            <w:tcW w:w="1132" w:type="dxa"/>
            <w:tcBorders>
              <w:top w:val="nil"/>
              <w:left w:val="nil"/>
              <w:bottom w:val="single" w:sz="4" w:space="0" w:color="auto"/>
              <w:right w:val="single" w:sz="4" w:space="0" w:color="auto"/>
            </w:tcBorders>
            <w:shd w:val="clear" w:color="auto" w:fill="auto"/>
            <w:noWrap/>
            <w:vAlign w:val="center"/>
          </w:tcPr>
          <w:p w14:paraId="7301EA3B" w14:textId="3C11A19D" w:rsidR="00FD373D" w:rsidRPr="00CA504F" w:rsidRDefault="009C7A19"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3,9</w:t>
            </w:r>
            <w:r w:rsidR="00235DF7" w:rsidRPr="00CA504F">
              <w:rPr>
                <w:rFonts w:ascii="Times New Roman" w:eastAsia="Times New Roman" w:hAnsi="Times New Roman"/>
                <w:sz w:val="24"/>
                <w:szCs w:val="24"/>
              </w:rPr>
              <w:t>%</w:t>
            </w:r>
          </w:p>
        </w:tc>
        <w:tc>
          <w:tcPr>
            <w:tcW w:w="998" w:type="dxa"/>
            <w:tcBorders>
              <w:top w:val="nil"/>
              <w:left w:val="nil"/>
              <w:bottom w:val="single" w:sz="4" w:space="0" w:color="auto"/>
              <w:right w:val="single" w:sz="4" w:space="0" w:color="auto"/>
            </w:tcBorders>
            <w:shd w:val="clear" w:color="auto" w:fill="auto"/>
            <w:noWrap/>
            <w:vAlign w:val="center"/>
          </w:tcPr>
          <w:p w14:paraId="2B83D5F7" w14:textId="7CC4D2E0" w:rsidR="00FD373D" w:rsidRPr="00CA504F" w:rsidRDefault="009C7A19"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401.087</w:t>
            </w:r>
          </w:p>
        </w:tc>
        <w:tc>
          <w:tcPr>
            <w:tcW w:w="1136" w:type="dxa"/>
            <w:tcBorders>
              <w:top w:val="nil"/>
              <w:left w:val="nil"/>
              <w:bottom w:val="single" w:sz="4" w:space="0" w:color="auto"/>
              <w:right w:val="single" w:sz="4" w:space="0" w:color="auto"/>
            </w:tcBorders>
            <w:shd w:val="clear" w:color="auto" w:fill="auto"/>
            <w:noWrap/>
            <w:vAlign w:val="center"/>
          </w:tcPr>
          <w:p w14:paraId="7BB43A5F" w14:textId="7E097B5B" w:rsidR="00FD373D" w:rsidRPr="00CA504F" w:rsidRDefault="009C7A19" w:rsidP="000856FA">
            <w:pPr>
              <w:spacing w:after="60" w:line="360" w:lineRule="auto"/>
              <w:jc w:val="center"/>
              <w:rPr>
                <w:rFonts w:ascii="Times New Roman" w:eastAsia="Times New Roman" w:hAnsi="Times New Roman"/>
                <w:sz w:val="24"/>
                <w:szCs w:val="24"/>
              </w:rPr>
            </w:pPr>
            <w:r w:rsidRPr="00CA504F">
              <w:rPr>
                <w:rFonts w:ascii="Times New Roman" w:hAnsi="Times New Roman"/>
                <w:lang w:val="pt-BR"/>
              </w:rPr>
              <w:t>496.400</w:t>
            </w:r>
          </w:p>
        </w:tc>
        <w:tc>
          <w:tcPr>
            <w:tcW w:w="1137" w:type="dxa"/>
            <w:tcBorders>
              <w:top w:val="nil"/>
              <w:left w:val="nil"/>
              <w:bottom w:val="single" w:sz="4" w:space="0" w:color="auto"/>
              <w:right w:val="single" w:sz="4" w:space="0" w:color="auto"/>
            </w:tcBorders>
            <w:shd w:val="clear" w:color="auto" w:fill="auto"/>
            <w:noWrap/>
            <w:vAlign w:val="center"/>
          </w:tcPr>
          <w:p w14:paraId="4C303FF4" w14:textId="77777777" w:rsidR="00FD373D" w:rsidRPr="00CA504F" w:rsidRDefault="00FD373D" w:rsidP="000856FA">
            <w:pPr>
              <w:spacing w:after="60" w:line="360" w:lineRule="auto"/>
              <w:jc w:val="center"/>
              <w:rPr>
                <w:rFonts w:ascii="Times New Roman" w:eastAsia="Times New Roman" w:hAnsi="Times New Roman"/>
                <w:sz w:val="24"/>
                <w:szCs w:val="24"/>
              </w:rPr>
            </w:pPr>
          </w:p>
        </w:tc>
        <w:tc>
          <w:tcPr>
            <w:tcW w:w="1137" w:type="dxa"/>
            <w:tcBorders>
              <w:top w:val="nil"/>
              <w:left w:val="nil"/>
              <w:bottom w:val="single" w:sz="4" w:space="0" w:color="auto"/>
              <w:right w:val="single" w:sz="4" w:space="0" w:color="auto"/>
            </w:tcBorders>
            <w:shd w:val="clear" w:color="auto" w:fill="auto"/>
            <w:noWrap/>
            <w:vAlign w:val="center"/>
          </w:tcPr>
          <w:p w14:paraId="72124DC7" w14:textId="77777777" w:rsidR="00FD373D" w:rsidRPr="00CA504F" w:rsidRDefault="00FD373D" w:rsidP="000856FA">
            <w:pPr>
              <w:spacing w:after="60" w:line="360" w:lineRule="auto"/>
              <w:jc w:val="center"/>
              <w:rPr>
                <w:rFonts w:ascii="Times New Roman" w:eastAsia="Times New Roman" w:hAnsi="Times New Roman"/>
                <w:sz w:val="24"/>
                <w:szCs w:val="24"/>
              </w:rPr>
            </w:pPr>
          </w:p>
        </w:tc>
        <w:tc>
          <w:tcPr>
            <w:tcW w:w="1137" w:type="dxa"/>
            <w:tcBorders>
              <w:top w:val="nil"/>
              <w:left w:val="nil"/>
              <w:bottom w:val="single" w:sz="4" w:space="0" w:color="auto"/>
              <w:right w:val="single" w:sz="4" w:space="0" w:color="auto"/>
            </w:tcBorders>
            <w:shd w:val="clear" w:color="auto" w:fill="auto"/>
            <w:noWrap/>
            <w:vAlign w:val="center"/>
          </w:tcPr>
          <w:p w14:paraId="433EB8D7" w14:textId="77777777" w:rsidR="00FD373D" w:rsidRPr="00CA504F" w:rsidRDefault="00FD373D" w:rsidP="000856FA">
            <w:pPr>
              <w:spacing w:after="60" w:line="360" w:lineRule="auto"/>
              <w:jc w:val="center"/>
              <w:rPr>
                <w:rFonts w:ascii="Times New Roman" w:eastAsia="Times New Roman" w:hAnsi="Times New Roman"/>
                <w:sz w:val="24"/>
                <w:szCs w:val="24"/>
              </w:rPr>
            </w:pPr>
          </w:p>
        </w:tc>
        <w:tc>
          <w:tcPr>
            <w:tcW w:w="997" w:type="dxa"/>
            <w:tcBorders>
              <w:top w:val="nil"/>
              <w:left w:val="nil"/>
              <w:bottom w:val="single" w:sz="4" w:space="0" w:color="auto"/>
              <w:right w:val="single" w:sz="4" w:space="0" w:color="auto"/>
            </w:tcBorders>
            <w:shd w:val="clear" w:color="auto" w:fill="auto"/>
            <w:noWrap/>
            <w:vAlign w:val="center"/>
          </w:tcPr>
          <w:p w14:paraId="5845D929" w14:textId="77777777" w:rsidR="00FD373D" w:rsidRPr="00CA504F" w:rsidRDefault="00FD373D" w:rsidP="000856FA">
            <w:pPr>
              <w:spacing w:after="60" w:line="360" w:lineRule="auto"/>
              <w:jc w:val="center"/>
              <w:rPr>
                <w:rFonts w:ascii="Times New Roman" w:eastAsia="Times New Roman" w:hAnsi="Times New Roman"/>
                <w:sz w:val="24"/>
                <w:szCs w:val="24"/>
              </w:rPr>
            </w:pPr>
          </w:p>
        </w:tc>
      </w:tr>
    </w:tbl>
    <w:p w14:paraId="13BB786F" w14:textId="641FE09E" w:rsidR="000856FA" w:rsidRPr="00CA504F" w:rsidRDefault="000856FA" w:rsidP="00BC202A">
      <w:pPr>
        <w:pStyle w:val="1"/>
        <w:spacing w:after="60"/>
        <w:jc w:val="right"/>
        <w:rPr>
          <w:sz w:val="28"/>
          <w:lang w:val="pt-BR"/>
        </w:rPr>
      </w:pPr>
      <w:r w:rsidRPr="00CA504F">
        <w:rPr>
          <w:b w:val="0"/>
          <w:i/>
          <w:sz w:val="24"/>
          <w:szCs w:val="28"/>
        </w:rPr>
        <w:t xml:space="preserve"> (Nguồn: Hệ thống quản lý chính sách TCS)</w:t>
      </w:r>
    </w:p>
    <w:p w14:paraId="289A00BE" w14:textId="77777777" w:rsidR="005304E5" w:rsidRPr="00CA504F" w:rsidRDefault="005304E5">
      <w:pPr>
        <w:spacing w:after="160" w:line="259" w:lineRule="auto"/>
        <w:rPr>
          <w:rFonts w:ascii="Times New Roman" w:hAnsi="Times New Roman"/>
          <w:sz w:val="28"/>
          <w:szCs w:val="28"/>
          <w:lang w:val="pt-BR"/>
        </w:rPr>
      </w:pPr>
      <w:r w:rsidRPr="00CA504F">
        <w:rPr>
          <w:rFonts w:ascii="Times New Roman" w:hAnsi="Times New Roman"/>
          <w:sz w:val="28"/>
          <w:szCs w:val="28"/>
          <w:lang w:val="pt-BR"/>
        </w:rPr>
        <w:br w:type="page"/>
      </w:r>
    </w:p>
    <w:p w14:paraId="438CF50D" w14:textId="6EA807D5" w:rsidR="005304E5" w:rsidRPr="00CA504F" w:rsidRDefault="005304E5" w:rsidP="00BC202A">
      <w:pPr>
        <w:spacing w:before="120" w:after="0"/>
        <w:ind w:firstLine="720"/>
        <w:jc w:val="both"/>
        <w:rPr>
          <w:rFonts w:ascii="Times New Roman" w:hAnsi="Times New Roman"/>
          <w:sz w:val="28"/>
          <w:szCs w:val="28"/>
          <w:lang w:val="pt-BR"/>
        </w:rPr>
      </w:pPr>
      <w:r w:rsidRPr="00CA504F">
        <w:rPr>
          <w:noProof/>
          <w:sz w:val="28"/>
          <w:szCs w:val="28"/>
        </w:rPr>
        <w:lastRenderedPageBreak/>
        <w:drawing>
          <wp:anchor distT="0" distB="0" distL="114300" distR="114300" simplePos="0" relativeHeight="251663360" behindDoc="1" locked="0" layoutInCell="1" allowOverlap="1" wp14:anchorId="3F4175D5" wp14:editId="66277BE1">
            <wp:simplePos x="0" y="0"/>
            <wp:positionH relativeFrom="margin">
              <wp:posOffset>4445</wp:posOffset>
            </wp:positionH>
            <wp:positionV relativeFrom="paragraph">
              <wp:posOffset>230505</wp:posOffset>
            </wp:positionV>
            <wp:extent cx="5948045" cy="2971800"/>
            <wp:effectExtent l="0" t="0" r="14605" b="0"/>
            <wp:wrapTight wrapText="bothSides">
              <wp:wrapPolygon edited="0">
                <wp:start x="0" y="0"/>
                <wp:lineTo x="0" y="21462"/>
                <wp:lineTo x="21584" y="21462"/>
                <wp:lineTo x="21584" y="0"/>
                <wp:lineTo x="0" y="0"/>
              </wp:wrapPolygon>
            </wp:wrapTight>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14:sizeRelV relativeFrom="margin">
              <wp14:pctHeight>0</wp14:pctHeight>
            </wp14:sizeRelV>
          </wp:anchor>
        </w:drawing>
      </w:r>
    </w:p>
    <w:p w14:paraId="13C854A9" w14:textId="77777777" w:rsidR="00AF3C86" w:rsidRDefault="000856FA" w:rsidP="00BC202A">
      <w:pPr>
        <w:spacing w:before="120" w:after="0"/>
        <w:ind w:firstLine="720"/>
        <w:jc w:val="both"/>
        <w:rPr>
          <w:rFonts w:ascii="Times New Roman" w:eastAsia="Times New Roman" w:hAnsi="Times New Roman"/>
          <w:sz w:val="28"/>
          <w:szCs w:val="28"/>
          <w:lang w:val="vi-VN"/>
        </w:rPr>
      </w:pPr>
      <w:r w:rsidRPr="00CA504F">
        <w:rPr>
          <w:rFonts w:ascii="Times New Roman" w:hAnsi="Times New Roman"/>
          <w:sz w:val="28"/>
          <w:szCs w:val="28"/>
          <w:lang w:val="pt-BR"/>
        </w:rPr>
        <w:t>- Cũng theo số liệu thống kê cho thấy, giai đoạn 2016-</w:t>
      </w:r>
      <w:r w:rsidR="00FF5655" w:rsidRPr="00CA504F">
        <w:rPr>
          <w:rFonts w:ascii="Times New Roman" w:hAnsi="Times New Roman"/>
          <w:sz w:val="28"/>
          <w:szCs w:val="28"/>
          <w:lang w:val="pt-BR"/>
        </w:rPr>
        <w:t>2022</w:t>
      </w:r>
      <w:r w:rsidRPr="00CA504F">
        <w:rPr>
          <w:rFonts w:ascii="Times New Roman" w:hAnsi="Times New Roman"/>
          <w:sz w:val="28"/>
          <w:szCs w:val="28"/>
          <w:lang w:val="pt-BR"/>
        </w:rPr>
        <w:t xml:space="preserve">, tổng số người tham gia BHXH tăng mới là </w:t>
      </w:r>
      <w:r w:rsidR="00F23574" w:rsidRPr="00CA504F">
        <w:rPr>
          <w:rFonts w:ascii="Times New Roman" w:eastAsia="Times New Roman" w:hAnsi="Times New Roman"/>
          <w:sz w:val="28"/>
          <w:szCs w:val="28"/>
        </w:rPr>
        <w:t>5.209.634</w:t>
      </w:r>
      <w:r w:rsidRPr="00CA504F">
        <w:rPr>
          <w:rFonts w:ascii="Times New Roman" w:eastAsia="Times New Roman" w:hAnsi="Times New Roman"/>
          <w:sz w:val="28"/>
          <w:szCs w:val="28"/>
        </w:rPr>
        <w:t xml:space="preserve"> người, trong đó số người hưởng BHXH một lần</w:t>
      </w:r>
      <w:r w:rsidR="00617DD3" w:rsidRPr="00CA504F">
        <w:rPr>
          <w:rFonts w:ascii="Times New Roman" w:eastAsia="Times New Roman" w:hAnsi="Times New Roman"/>
          <w:sz w:val="28"/>
          <w:szCs w:val="28"/>
          <w:lang w:val="vi-VN"/>
        </w:rPr>
        <w:t xml:space="preserve"> chưa quay trở lại tham gia BHXH</w:t>
      </w:r>
      <w:r w:rsidRPr="00CA504F">
        <w:rPr>
          <w:rFonts w:ascii="Times New Roman" w:eastAsia="Times New Roman" w:hAnsi="Times New Roman"/>
          <w:sz w:val="28"/>
          <w:szCs w:val="28"/>
        </w:rPr>
        <w:t xml:space="preserve"> là </w:t>
      </w:r>
      <w:r w:rsidR="00617DD3" w:rsidRPr="00CA504F">
        <w:rPr>
          <w:rFonts w:ascii="Times New Roman" w:eastAsia="Times New Roman" w:hAnsi="Times New Roman"/>
          <w:sz w:val="28"/>
          <w:szCs w:val="28"/>
          <w:lang w:val="vi-VN"/>
        </w:rPr>
        <w:t>3.547.344 n</w:t>
      </w:r>
      <w:r w:rsidRPr="00CA504F">
        <w:rPr>
          <w:rFonts w:ascii="Times New Roman" w:hAnsi="Times New Roman"/>
          <w:sz w:val="28"/>
          <w:szCs w:val="28"/>
        </w:rPr>
        <w:t>gười (tương đương tỷ lệ 1,</w:t>
      </w:r>
      <w:r w:rsidR="00617DD3" w:rsidRPr="00CA504F">
        <w:rPr>
          <w:rFonts w:ascii="Times New Roman" w:hAnsi="Times New Roman"/>
          <w:sz w:val="28"/>
          <w:szCs w:val="28"/>
          <w:lang w:val="vi-VN"/>
        </w:rPr>
        <w:t>5</w:t>
      </w:r>
      <w:r w:rsidR="00F23574" w:rsidRPr="00CA504F">
        <w:rPr>
          <w:rFonts w:ascii="Times New Roman" w:hAnsi="Times New Roman"/>
          <w:sz w:val="28"/>
          <w:szCs w:val="28"/>
        </w:rPr>
        <w:t xml:space="preserve"> </w:t>
      </w:r>
      <w:r w:rsidRPr="00CA504F">
        <w:rPr>
          <w:rFonts w:ascii="Times New Roman" w:hAnsi="Times New Roman"/>
          <w:sz w:val="28"/>
          <w:szCs w:val="28"/>
        </w:rPr>
        <w:t xml:space="preserve">người tham gia mới thì có 01 người </w:t>
      </w:r>
      <w:r w:rsidR="00617DD3" w:rsidRPr="00CA504F">
        <w:rPr>
          <w:rFonts w:ascii="Times New Roman" w:hAnsi="Times New Roman"/>
          <w:sz w:val="28"/>
          <w:szCs w:val="28"/>
        </w:rPr>
        <w:t>hưởng</w:t>
      </w:r>
      <w:r w:rsidR="00617DD3" w:rsidRPr="00CA504F">
        <w:rPr>
          <w:rFonts w:ascii="Times New Roman" w:hAnsi="Times New Roman"/>
          <w:sz w:val="28"/>
          <w:szCs w:val="28"/>
          <w:lang w:val="vi-VN"/>
        </w:rPr>
        <w:t xml:space="preserve"> BHXH một lần</w:t>
      </w:r>
      <w:r w:rsidRPr="00CA504F">
        <w:rPr>
          <w:rFonts w:ascii="Times New Roman" w:hAnsi="Times New Roman"/>
          <w:sz w:val="28"/>
          <w:szCs w:val="28"/>
        </w:rPr>
        <w:t>).</w:t>
      </w:r>
      <w:r w:rsidR="00617DD3" w:rsidRPr="00CA504F">
        <w:rPr>
          <w:rFonts w:ascii="Times New Roman" w:eastAsia="Times New Roman" w:hAnsi="Times New Roman"/>
          <w:sz w:val="28"/>
          <w:szCs w:val="28"/>
          <w:lang w:val="vi-VN"/>
        </w:rPr>
        <w:t xml:space="preserve"> </w:t>
      </w:r>
    </w:p>
    <w:p w14:paraId="5BED5F56" w14:textId="77777777" w:rsidR="00AF3C86" w:rsidRDefault="00AF3C86" w:rsidP="001F4385">
      <w:pPr>
        <w:spacing w:after="60" w:line="360" w:lineRule="auto"/>
        <w:jc w:val="center"/>
        <w:rPr>
          <w:rFonts w:ascii="Times New Roman" w:eastAsia="Times New Roman" w:hAnsi="Times New Roman"/>
          <w:b/>
          <w:sz w:val="24"/>
          <w:szCs w:val="28"/>
        </w:rPr>
      </w:pPr>
    </w:p>
    <w:p w14:paraId="7A103EC3" w14:textId="45EFA709" w:rsidR="000856FA" w:rsidRPr="00CA504F" w:rsidRDefault="000856FA" w:rsidP="001F4385">
      <w:pPr>
        <w:spacing w:after="60" w:line="360" w:lineRule="auto"/>
        <w:jc w:val="center"/>
        <w:rPr>
          <w:rFonts w:ascii="Times New Roman" w:eastAsia="Times New Roman" w:hAnsi="Times New Roman"/>
          <w:b/>
          <w:sz w:val="24"/>
          <w:szCs w:val="28"/>
        </w:rPr>
      </w:pPr>
      <w:r w:rsidRPr="00CA504F">
        <w:rPr>
          <w:rFonts w:ascii="Times New Roman" w:eastAsia="Times New Roman" w:hAnsi="Times New Roman"/>
          <w:b/>
          <w:sz w:val="24"/>
          <w:szCs w:val="28"/>
        </w:rPr>
        <w:t xml:space="preserve">Bảng 2: Số người tham gia mới và hưởng BHXH một lần giai đoạn </w:t>
      </w:r>
      <w:r w:rsidR="00A30F6D" w:rsidRPr="00CA504F">
        <w:rPr>
          <w:rFonts w:ascii="Times New Roman" w:eastAsia="Times New Roman" w:hAnsi="Times New Roman"/>
          <w:b/>
          <w:sz w:val="24"/>
          <w:szCs w:val="28"/>
        </w:rPr>
        <w:t>2016-2022</w:t>
      </w:r>
    </w:p>
    <w:tbl>
      <w:tblPr>
        <w:tblStyle w:val="TableGrid"/>
        <w:tblW w:w="9407" w:type="dxa"/>
        <w:tblLook w:val="04A0" w:firstRow="1" w:lastRow="0" w:firstColumn="1" w:lastColumn="0" w:noHBand="0" w:noVBand="1"/>
      </w:tblPr>
      <w:tblGrid>
        <w:gridCol w:w="790"/>
        <w:gridCol w:w="946"/>
        <w:gridCol w:w="1630"/>
        <w:gridCol w:w="1835"/>
        <w:gridCol w:w="2221"/>
        <w:gridCol w:w="1985"/>
      </w:tblGrid>
      <w:tr w:rsidR="00CA504F" w:rsidRPr="00CA504F" w14:paraId="529CC0FE" w14:textId="77777777" w:rsidTr="00F66AA9">
        <w:tc>
          <w:tcPr>
            <w:tcW w:w="790" w:type="dxa"/>
          </w:tcPr>
          <w:p w14:paraId="5C44B453"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eastAsia="Times New Roman" w:hAnsi="Times New Roman"/>
                <w:b/>
                <w:sz w:val="24"/>
                <w:szCs w:val="24"/>
              </w:rPr>
              <w:t>STT</w:t>
            </w:r>
          </w:p>
        </w:tc>
        <w:tc>
          <w:tcPr>
            <w:tcW w:w="946" w:type="dxa"/>
          </w:tcPr>
          <w:p w14:paraId="52C6CD29"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eastAsia="Times New Roman" w:hAnsi="Times New Roman"/>
                <w:b/>
                <w:sz w:val="24"/>
                <w:szCs w:val="24"/>
              </w:rPr>
              <w:t>Năm</w:t>
            </w:r>
          </w:p>
        </w:tc>
        <w:tc>
          <w:tcPr>
            <w:tcW w:w="1630" w:type="dxa"/>
          </w:tcPr>
          <w:p w14:paraId="2FB98526"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hAnsi="Times New Roman"/>
                <w:b/>
                <w:sz w:val="24"/>
                <w:szCs w:val="24"/>
              </w:rPr>
              <w:t xml:space="preserve">Số người tham gia </w:t>
            </w:r>
            <w:r w:rsidRPr="00CA504F">
              <w:rPr>
                <w:rFonts w:ascii="Times New Roman" w:hAnsi="Times New Roman"/>
                <w:b/>
                <w:i/>
                <w:sz w:val="24"/>
                <w:szCs w:val="24"/>
              </w:rPr>
              <w:t>(người)</w:t>
            </w:r>
          </w:p>
        </w:tc>
        <w:tc>
          <w:tcPr>
            <w:tcW w:w="1835" w:type="dxa"/>
          </w:tcPr>
          <w:p w14:paraId="7B35C1D1"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eastAsia="Times New Roman" w:hAnsi="Times New Roman"/>
                <w:b/>
                <w:sz w:val="24"/>
                <w:szCs w:val="24"/>
              </w:rPr>
              <w:t>Số người tăng mới năm sau so với năm trước</w:t>
            </w:r>
          </w:p>
          <w:p w14:paraId="585965E9" w14:textId="77777777" w:rsidR="000856FA" w:rsidRPr="00CA504F" w:rsidRDefault="000856FA" w:rsidP="000856FA">
            <w:pPr>
              <w:spacing w:after="60" w:line="360" w:lineRule="auto"/>
              <w:jc w:val="center"/>
              <w:rPr>
                <w:rFonts w:ascii="Times New Roman" w:eastAsia="Times New Roman" w:hAnsi="Times New Roman"/>
                <w:b/>
                <w:i/>
                <w:sz w:val="24"/>
                <w:szCs w:val="24"/>
              </w:rPr>
            </w:pPr>
            <w:r w:rsidRPr="00CA504F">
              <w:rPr>
                <w:rFonts w:ascii="Times New Roman" w:eastAsia="Times New Roman" w:hAnsi="Times New Roman"/>
                <w:b/>
                <w:i/>
                <w:sz w:val="24"/>
                <w:szCs w:val="24"/>
              </w:rPr>
              <w:t>(người)</w:t>
            </w:r>
          </w:p>
        </w:tc>
        <w:tc>
          <w:tcPr>
            <w:tcW w:w="2221" w:type="dxa"/>
          </w:tcPr>
          <w:p w14:paraId="78A78690" w14:textId="5A39C54F" w:rsidR="000856FA" w:rsidRPr="00CA504F" w:rsidRDefault="000856FA" w:rsidP="000856FA">
            <w:pPr>
              <w:spacing w:after="60" w:line="360" w:lineRule="auto"/>
              <w:ind w:right="-108"/>
              <w:jc w:val="center"/>
              <w:rPr>
                <w:rFonts w:ascii="Times New Roman" w:hAnsi="Times New Roman"/>
                <w:b/>
                <w:sz w:val="24"/>
                <w:szCs w:val="24"/>
              </w:rPr>
            </w:pPr>
            <w:r w:rsidRPr="00CA504F">
              <w:rPr>
                <w:rFonts w:ascii="Times New Roman" w:hAnsi="Times New Roman"/>
                <w:b/>
                <w:sz w:val="24"/>
                <w:szCs w:val="24"/>
              </w:rPr>
              <w:t xml:space="preserve">Số </w:t>
            </w:r>
            <w:r w:rsidR="008E3C42" w:rsidRPr="00CA504F">
              <w:rPr>
                <w:rFonts w:ascii="Times New Roman" w:hAnsi="Times New Roman"/>
                <w:b/>
                <w:sz w:val="24"/>
                <w:szCs w:val="24"/>
              </w:rPr>
              <w:t xml:space="preserve">lượt </w:t>
            </w:r>
            <w:r w:rsidRPr="00CA504F">
              <w:rPr>
                <w:rFonts w:ascii="Times New Roman" w:hAnsi="Times New Roman"/>
                <w:b/>
                <w:sz w:val="24"/>
                <w:szCs w:val="24"/>
              </w:rPr>
              <w:t>người hưởng BHXH một lần</w:t>
            </w:r>
          </w:p>
          <w:p w14:paraId="4DE24A3B" w14:textId="77777777" w:rsidR="000856FA" w:rsidRPr="00CA504F" w:rsidRDefault="000856FA" w:rsidP="000856FA">
            <w:pPr>
              <w:spacing w:after="60" w:line="360" w:lineRule="auto"/>
              <w:jc w:val="center"/>
              <w:rPr>
                <w:rFonts w:ascii="Times New Roman" w:eastAsia="Times New Roman" w:hAnsi="Times New Roman"/>
                <w:b/>
                <w:i/>
                <w:sz w:val="24"/>
                <w:szCs w:val="24"/>
              </w:rPr>
            </w:pPr>
            <w:r w:rsidRPr="00CA504F">
              <w:rPr>
                <w:rFonts w:ascii="Times New Roman" w:eastAsia="Times New Roman" w:hAnsi="Times New Roman"/>
                <w:b/>
                <w:i/>
                <w:sz w:val="24"/>
                <w:szCs w:val="24"/>
              </w:rPr>
              <w:t>(người)</w:t>
            </w:r>
          </w:p>
        </w:tc>
        <w:tc>
          <w:tcPr>
            <w:tcW w:w="1985" w:type="dxa"/>
          </w:tcPr>
          <w:p w14:paraId="1A6C94FF" w14:textId="15E6F79B" w:rsidR="000856FA" w:rsidRPr="00CA504F" w:rsidRDefault="000856FA" w:rsidP="00992919">
            <w:pPr>
              <w:spacing w:after="60" w:line="360" w:lineRule="auto"/>
              <w:jc w:val="center"/>
              <w:rPr>
                <w:rFonts w:ascii="Times New Roman" w:eastAsia="Times New Roman" w:hAnsi="Times New Roman"/>
                <w:b/>
                <w:sz w:val="24"/>
                <w:szCs w:val="24"/>
              </w:rPr>
            </w:pPr>
            <w:r w:rsidRPr="00CA504F">
              <w:rPr>
                <w:rFonts w:ascii="Times New Roman Bold" w:eastAsia="Times New Roman" w:hAnsi="Times New Roman Bold"/>
                <w:b/>
                <w:sz w:val="24"/>
                <w:szCs w:val="24"/>
              </w:rPr>
              <w:t xml:space="preserve">Tỷ lệ số </w:t>
            </w:r>
            <w:r w:rsidR="008E3C42" w:rsidRPr="00CA504F">
              <w:rPr>
                <w:rFonts w:ascii="Times New Roman Bold" w:eastAsia="Times New Roman" w:hAnsi="Times New Roman Bold"/>
                <w:b/>
                <w:sz w:val="24"/>
                <w:szCs w:val="24"/>
              </w:rPr>
              <w:t xml:space="preserve">lượt </w:t>
            </w:r>
            <w:r w:rsidRPr="00CA504F">
              <w:rPr>
                <w:rFonts w:ascii="Times New Roman Bold" w:eastAsia="Times New Roman" w:hAnsi="Times New Roman Bold"/>
                <w:b/>
                <w:sz w:val="24"/>
                <w:szCs w:val="24"/>
              </w:rPr>
              <w:t>người hưởng BHXH một lần so với số người tăng mới</w:t>
            </w:r>
            <w:r w:rsidR="00992919" w:rsidRPr="00CA504F">
              <w:rPr>
                <w:rFonts w:ascii="Times New Roman Bold" w:eastAsia="Times New Roman" w:hAnsi="Times New Roman Bold"/>
                <w:b/>
                <w:sz w:val="24"/>
                <w:szCs w:val="24"/>
              </w:rPr>
              <w:t xml:space="preserve"> </w:t>
            </w:r>
            <w:r w:rsidRPr="00CA504F">
              <w:rPr>
                <w:rFonts w:ascii="Times New Roman Bold" w:eastAsia="Times New Roman" w:hAnsi="Times New Roman Bold"/>
                <w:b/>
                <w:sz w:val="24"/>
                <w:szCs w:val="24"/>
              </w:rPr>
              <w:t>(%)</w:t>
            </w:r>
          </w:p>
        </w:tc>
      </w:tr>
      <w:tr w:rsidR="00CA504F" w:rsidRPr="00CA504F" w14:paraId="7FBA0B4B" w14:textId="77777777" w:rsidTr="00F66AA9">
        <w:tc>
          <w:tcPr>
            <w:tcW w:w="790" w:type="dxa"/>
            <w:vAlign w:val="center"/>
          </w:tcPr>
          <w:p w14:paraId="62A4BF9D"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w:t>
            </w:r>
          </w:p>
        </w:tc>
        <w:tc>
          <w:tcPr>
            <w:tcW w:w="946" w:type="dxa"/>
            <w:vAlign w:val="center"/>
          </w:tcPr>
          <w:p w14:paraId="6557E717"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hAnsi="Times New Roman"/>
                <w:sz w:val="24"/>
                <w:szCs w:val="24"/>
              </w:rPr>
              <w:t>2016</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78493D43"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hAnsi="Times New Roman"/>
                <w:sz w:val="24"/>
                <w:szCs w:val="24"/>
              </w:rPr>
              <w:t>13.055.704</w:t>
            </w:r>
          </w:p>
        </w:tc>
        <w:tc>
          <w:tcPr>
            <w:tcW w:w="1835" w:type="dxa"/>
            <w:vAlign w:val="center"/>
          </w:tcPr>
          <w:p w14:paraId="2CC0205D"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765.175</w:t>
            </w:r>
          </w:p>
        </w:tc>
        <w:tc>
          <w:tcPr>
            <w:tcW w:w="2221" w:type="dxa"/>
            <w:tcBorders>
              <w:top w:val="nil"/>
              <w:left w:val="nil"/>
              <w:bottom w:val="single" w:sz="4" w:space="0" w:color="auto"/>
              <w:right w:val="single" w:sz="4" w:space="0" w:color="auto"/>
            </w:tcBorders>
            <w:shd w:val="clear" w:color="auto" w:fill="auto"/>
            <w:vAlign w:val="center"/>
          </w:tcPr>
          <w:p w14:paraId="61A64E59"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eastAsia="Times New Roman" w:hAnsi="Times New Roman"/>
                <w:sz w:val="24"/>
                <w:szCs w:val="24"/>
              </w:rPr>
              <w:t>500.174</w:t>
            </w:r>
          </w:p>
        </w:tc>
        <w:tc>
          <w:tcPr>
            <w:tcW w:w="1985" w:type="dxa"/>
            <w:vAlign w:val="center"/>
          </w:tcPr>
          <w:p w14:paraId="44189FDF"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65,36%</w:t>
            </w:r>
          </w:p>
        </w:tc>
      </w:tr>
      <w:tr w:rsidR="00CA504F" w:rsidRPr="00CA504F" w14:paraId="7EB694A3" w14:textId="77777777" w:rsidTr="00F66AA9">
        <w:tc>
          <w:tcPr>
            <w:tcW w:w="790" w:type="dxa"/>
            <w:vAlign w:val="center"/>
          </w:tcPr>
          <w:p w14:paraId="1F5041EC"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2</w:t>
            </w:r>
          </w:p>
        </w:tc>
        <w:tc>
          <w:tcPr>
            <w:tcW w:w="946" w:type="dxa"/>
            <w:vAlign w:val="center"/>
          </w:tcPr>
          <w:p w14:paraId="64FDB002"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hAnsi="Times New Roman"/>
                <w:sz w:val="24"/>
                <w:szCs w:val="24"/>
              </w:rPr>
              <w:t>2017</w:t>
            </w:r>
          </w:p>
        </w:tc>
        <w:tc>
          <w:tcPr>
            <w:tcW w:w="1630" w:type="dxa"/>
            <w:tcBorders>
              <w:top w:val="nil"/>
              <w:left w:val="single" w:sz="4" w:space="0" w:color="auto"/>
              <w:bottom w:val="single" w:sz="4" w:space="0" w:color="auto"/>
              <w:right w:val="single" w:sz="4" w:space="0" w:color="auto"/>
            </w:tcBorders>
            <w:shd w:val="clear" w:color="auto" w:fill="auto"/>
            <w:vAlign w:val="center"/>
          </w:tcPr>
          <w:p w14:paraId="73561C2F"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hAnsi="Times New Roman"/>
                <w:sz w:val="24"/>
                <w:szCs w:val="24"/>
              </w:rPr>
              <w:t>13.820.389</w:t>
            </w:r>
          </w:p>
        </w:tc>
        <w:tc>
          <w:tcPr>
            <w:tcW w:w="1835" w:type="dxa"/>
            <w:vAlign w:val="center"/>
          </w:tcPr>
          <w:p w14:paraId="498420A6"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764.685</w:t>
            </w:r>
          </w:p>
        </w:tc>
        <w:tc>
          <w:tcPr>
            <w:tcW w:w="2221" w:type="dxa"/>
            <w:tcBorders>
              <w:top w:val="nil"/>
              <w:left w:val="nil"/>
              <w:bottom w:val="single" w:sz="4" w:space="0" w:color="auto"/>
              <w:right w:val="single" w:sz="4" w:space="0" w:color="auto"/>
            </w:tcBorders>
            <w:shd w:val="clear" w:color="auto" w:fill="auto"/>
            <w:vAlign w:val="center"/>
          </w:tcPr>
          <w:p w14:paraId="6CE55798"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eastAsia="Times New Roman" w:hAnsi="Times New Roman"/>
                <w:sz w:val="24"/>
                <w:szCs w:val="24"/>
              </w:rPr>
              <w:t>560.137</w:t>
            </w:r>
          </w:p>
        </w:tc>
        <w:tc>
          <w:tcPr>
            <w:tcW w:w="1985" w:type="dxa"/>
            <w:vAlign w:val="center"/>
          </w:tcPr>
          <w:p w14:paraId="355E5383"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73,3%</w:t>
            </w:r>
          </w:p>
        </w:tc>
      </w:tr>
      <w:tr w:rsidR="00CA504F" w:rsidRPr="00CA504F" w14:paraId="0D93AE65" w14:textId="77777777" w:rsidTr="00F66AA9">
        <w:tc>
          <w:tcPr>
            <w:tcW w:w="790" w:type="dxa"/>
            <w:vAlign w:val="center"/>
          </w:tcPr>
          <w:p w14:paraId="3D713F6E"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w:t>
            </w:r>
          </w:p>
        </w:tc>
        <w:tc>
          <w:tcPr>
            <w:tcW w:w="946" w:type="dxa"/>
            <w:vAlign w:val="center"/>
          </w:tcPr>
          <w:p w14:paraId="3C9B2F82"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hAnsi="Times New Roman"/>
                <w:sz w:val="24"/>
                <w:szCs w:val="24"/>
              </w:rPr>
              <w:t>2018</w:t>
            </w:r>
          </w:p>
        </w:tc>
        <w:tc>
          <w:tcPr>
            <w:tcW w:w="1630" w:type="dxa"/>
            <w:tcBorders>
              <w:top w:val="nil"/>
              <w:left w:val="single" w:sz="4" w:space="0" w:color="auto"/>
              <w:bottom w:val="single" w:sz="4" w:space="0" w:color="auto"/>
              <w:right w:val="single" w:sz="4" w:space="0" w:color="auto"/>
            </w:tcBorders>
            <w:shd w:val="clear" w:color="auto" w:fill="auto"/>
            <w:vAlign w:val="center"/>
          </w:tcPr>
          <w:p w14:paraId="287A722F"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hAnsi="Times New Roman"/>
                <w:sz w:val="24"/>
                <w:szCs w:val="24"/>
              </w:rPr>
              <w:t>14.732.259</w:t>
            </w:r>
          </w:p>
        </w:tc>
        <w:tc>
          <w:tcPr>
            <w:tcW w:w="1835" w:type="dxa"/>
            <w:vAlign w:val="center"/>
          </w:tcPr>
          <w:p w14:paraId="7C7B3463"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911.870</w:t>
            </w:r>
          </w:p>
        </w:tc>
        <w:tc>
          <w:tcPr>
            <w:tcW w:w="2221" w:type="dxa"/>
            <w:tcBorders>
              <w:top w:val="nil"/>
              <w:left w:val="nil"/>
              <w:bottom w:val="single" w:sz="4" w:space="0" w:color="auto"/>
              <w:right w:val="single" w:sz="4" w:space="0" w:color="auto"/>
            </w:tcBorders>
            <w:shd w:val="clear" w:color="auto" w:fill="auto"/>
            <w:vAlign w:val="center"/>
          </w:tcPr>
          <w:p w14:paraId="1D95A677"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eastAsia="Times New Roman" w:hAnsi="Times New Roman"/>
                <w:sz w:val="24"/>
                <w:szCs w:val="24"/>
              </w:rPr>
              <w:t>666.482</w:t>
            </w:r>
          </w:p>
        </w:tc>
        <w:tc>
          <w:tcPr>
            <w:tcW w:w="1985" w:type="dxa"/>
            <w:vAlign w:val="center"/>
          </w:tcPr>
          <w:p w14:paraId="111FD74F"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73,1%</w:t>
            </w:r>
          </w:p>
        </w:tc>
      </w:tr>
      <w:tr w:rsidR="00CA504F" w:rsidRPr="00CA504F" w14:paraId="630DB2A3" w14:textId="77777777" w:rsidTr="00F66AA9">
        <w:tc>
          <w:tcPr>
            <w:tcW w:w="790" w:type="dxa"/>
            <w:vAlign w:val="center"/>
          </w:tcPr>
          <w:p w14:paraId="7596111C"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4</w:t>
            </w:r>
          </w:p>
        </w:tc>
        <w:tc>
          <w:tcPr>
            <w:tcW w:w="946" w:type="dxa"/>
            <w:vAlign w:val="center"/>
          </w:tcPr>
          <w:p w14:paraId="191B56C3"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hAnsi="Times New Roman"/>
                <w:sz w:val="24"/>
                <w:szCs w:val="24"/>
              </w:rPr>
              <w:t>2019</w:t>
            </w:r>
          </w:p>
        </w:tc>
        <w:tc>
          <w:tcPr>
            <w:tcW w:w="1630" w:type="dxa"/>
            <w:tcBorders>
              <w:top w:val="nil"/>
              <w:left w:val="single" w:sz="4" w:space="0" w:color="auto"/>
              <w:bottom w:val="single" w:sz="4" w:space="0" w:color="auto"/>
              <w:right w:val="single" w:sz="4" w:space="0" w:color="auto"/>
            </w:tcBorders>
            <w:shd w:val="clear" w:color="auto" w:fill="auto"/>
            <w:vAlign w:val="center"/>
          </w:tcPr>
          <w:p w14:paraId="48DC266B"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hAnsi="Times New Roman"/>
                <w:sz w:val="24"/>
                <w:szCs w:val="24"/>
              </w:rPr>
              <w:t>15.762.145</w:t>
            </w:r>
          </w:p>
        </w:tc>
        <w:tc>
          <w:tcPr>
            <w:tcW w:w="1835" w:type="dxa"/>
            <w:vAlign w:val="center"/>
          </w:tcPr>
          <w:p w14:paraId="40BABDD3"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1.029.886</w:t>
            </w:r>
          </w:p>
        </w:tc>
        <w:tc>
          <w:tcPr>
            <w:tcW w:w="2221" w:type="dxa"/>
            <w:tcBorders>
              <w:top w:val="nil"/>
              <w:left w:val="nil"/>
              <w:bottom w:val="single" w:sz="4" w:space="0" w:color="auto"/>
              <w:right w:val="single" w:sz="4" w:space="0" w:color="auto"/>
            </w:tcBorders>
            <w:shd w:val="clear" w:color="auto" w:fill="auto"/>
            <w:vAlign w:val="center"/>
          </w:tcPr>
          <w:p w14:paraId="57111128"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eastAsia="Times New Roman" w:hAnsi="Times New Roman"/>
                <w:sz w:val="24"/>
                <w:szCs w:val="24"/>
              </w:rPr>
              <w:t>707.184</w:t>
            </w:r>
          </w:p>
        </w:tc>
        <w:tc>
          <w:tcPr>
            <w:tcW w:w="1985" w:type="dxa"/>
            <w:vAlign w:val="center"/>
          </w:tcPr>
          <w:p w14:paraId="44CC0CA3"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68,7%</w:t>
            </w:r>
          </w:p>
        </w:tc>
      </w:tr>
      <w:tr w:rsidR="00CA504F" w:rsidRPr="00CA504F" w14:paraId="711C5F8F" w14:textId="77777777" w:rsidTr="00F66AA9">
        <w:tc>
          <w:tcPr>
            <w:tcW w:w="790" w:type="dxa"/>
            <w:vAlign w:val="center"/>
          </w:tcPr>
          <w:p w14:paraId="1F8B06DC"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5</w:t>
            </w:r>
          </w:p>
        </w:tc>
        <w:tc>
          <w:tcPr>
            <w:tcW w:w="946" w:type="dxa"/>
            <w:vAlign w:val="center"/>
          </w:tcPr>
          <w:p w14:paraId="3392F220"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hAnsi="Times New Roman"/>
                <w:sz w:val="24"/>
                <w:szCs w:val="24"/>
              </w:rPr>
              <w:t>2020</w:t>
            </w:r>
          </w:p>
        </w:tc>
        <w:tc>
          <w:tcPr>
            <w:tcW w:w="1630" w:type="dxa"/>
            <w:tcBorders>
              <w:top w:val="nil"/>
              <w:left w:val="single" w:sz="4" w:space="0" w:color="auto"/>
              <w:bottom w:val="single" w:sz="4" w:space="0" w:color="auto"/>
              <w:right w:val="single" w:sz="4" w:space="0" w:color="auto"/>
            </w:tcBorders>
            <w:shd w:val="clear" w:color="auto" w:fill="auto"/>
            <w:vAlign w:val="center"/>
          </w:tcPr>
          <w:p w14:paraId="275F850D"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hAnsi="Times New Roman"/>
                <w:sz w:val="24"/>
                <w:szCs w:val="24"/>
              </w:rPr>
              <w:t>16.188.799</w:t>
            </w:r>
          </w:p>
        </w:tc>
        <w:tc>
          <w:tcPr>
            <w:tcW w:w="1835" w:type="dxa"/>
            <w:vAlign w:val="center"/>
          </w:tcPr>
          <w:p w14:paraId="16800BE2" w14:textId="77777777" w:rsidR="000856FA" w:rsidRPr="00CA504F" w:rsidRDefault="000856FA" w:rsidP="000856FA">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426.654</w:t>
            </w:r>
          </w:p>
        </w:tc>
        <w:tc>
          <w:tcPr>
            <w:tcW w:w="2221" w:type="dxa"/>
            <w:tcBorders>
              <w:top w:val="nil"/>
              <w:left w:val="nil"/>
              <w:bottom w:val="single" w:sz="4" w:space="0" w:color="auto"/>
              <w:right w:val="single" w:sz="4" w:space="0" w:color="auto"/>
            </w:tcBorders>
            <w:shd w:val="clear" w:color="auto" w:fill="auto"/>
            <w:vAlign w:val="center"/>
          </w:tcPr>
          <w:p w14:paraId="49548D81"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eastAsia="Times New Roman" w:hAnsi="Times New Roman"/>
                <w:sz w:val="24"/>
                <w:szCs w:val="24"/>
              </w:rPr>
              <w:t>761.081</w:t>
            </w:r>
          </w:p>
        </w:tc>
        <w:tc>
          <w:tcPr>
            <w:tcW w:w="1985" w:type="dxa"/>
            <w:vAlign w:val="center"/>
          </w:tcPr>
          <w:p w14:paraId="4BC574BD" w14:textId="77777777" w:rsidR="000856FA" w:rsidRPr="00CA504F" w:rsidRDefault="000856FA" w:rsidP="000856FA">
            <w:pPr>
              <w:spacing w:after="60" w:line="360" w:lineRule="auto"/>
              <w:jc w:val="center"/>
              <w:rPr>
                <w:rFonts w:ascii="Times New Roman" w:eastAsia="Times New Roman" w:hAnsi="Times New Roman"/>
                <w:b/>
                <w:sz w:val="24"/>
                <w:szCs w:val="24"/>
              </w:rPr>
            </w:pPr>
            <w:r w:rsidRPr="00CA504F">
              <w:rPr>
                <w:rFonts w:ascii="Times New Roman" w:eastAsia="Times New Roman" w:hAnsi="Times New Roman"/>
                <w:b/>
                <w:sz w:val="24"/>
                <w:szCs w:val="24"/>
              </w:rPr>
              <w:t>-</w:t>
            </w:r>
          </w:p>
        </w:tc>
      </w:tr>
      <w:tr w:rsidR="00CA504F" w:rsidRPr="00CA504F" w14:paraId="2F787122" w14:textId="77777777" w:rsidTr="00BD1EC5">
        <w:tc>
          <w:tcPr>
            <w:tcW w:w="790" w:type="dxa"/>
            <w:vAlign w:val="center"/>
          </w:tcPr>
          <w:p w14:paraId="344B4FF0" w14:textId="6C789EE0" w:rsidR="00BD1EC5" w:rsidRPr="00CA504F" w:rsidRDefault="00BD1EC5" w:rsidP="00BD1EC5">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6</w:t>
            </w:r>
          </w:p>
        </w:tc>
        <w:tc>
          <w:tcPr>
            <w:tcW w:w="946" w:type="dxa"/>
            <w:vAlign w:val="center"/>
          </w:tcPr>
          <w:p w14:paraId="4846744B" w14:textId="6A73F88D" w:rsidR="00BD1EC5" w:rsidRPr="00CA504F" w:rsidRDefault="00BD1EC5" w:rsidP="00BD1EC5">
            <w:pPr>
              <w:spacing w:after="60" w:line="360" w:lineRule="auto"/>
              <w:jc w:val="center"/>
              <w:rPr>
                <w:rFonts w:ascii="Times New Roman" w:hAnsi="Times New Roman"/>
                <w:sz w:val="24"/>
                <w:szCs w:val="24"/>
              </w:rPr>
            </w:pPr>
            <w:r w:rsidRPr="00CA504F">
              <w:rPr>
                <w:rFonts w:ascii="Times New Roman" w:hAnsi="Times New Roman"/>
                <w:sz w:val="24"/>
                <w:szCs w:val="24"/>
              </w:rPr>
              <w:t>2021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1E82D5F" w14:textId="7E1318C1" w:rsidR="00BD1EC5" w:rsidRPr="00CA504F" w:rsidRDefault="00BD1EC5" w:rsidP="00BD1EC5">
            <w:pPr>
              <w:spacing w:after="60" w:line="360" w:lineRule="auto"/>
              <w:jc w:val="center"/>
              <w:rPr>
                <w:rFonts w:ascii="Times New Roman" w:hAnsi="Times New Roman"/>
                <w:sz w:val="24"/>
                <w:szCs w:val="24"/>
              </w:rPr>
            </w:pPr>
            <w:r w:rsidRPr="00CA504F">
              <w:rPr>
                <w:rFonts w:ascii="Times New Roman" w:hAnsi="Times New Roman"/>
                <w:sz w:val="24"/>
                <w:szCs w:val="24"/>
              </w:rPr>
              <w:t>16.546.827</w:t>
            </w:r>
          </w:p>
        </w:tc>
        <w:tc>
          <w:tcPr>
            <w:tcW w:w="1835" w:type="dxa"/>
            <w:vAlign w:val="center"/>
          </w:tcPr>
          <w:p w14:paraId="53218454" w14:textId="3DA994A8" w:rsidR="00BD1EC5" w:rsidRPr="00CA504F" w:rsidRDefault="00BD1EC5" w:rsidP="00BD1EC5">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358.028</w:t>
            </w:r>
          </w:p>
        </w:tc>
        <w:tc>
          <w:tcPr>
            <w:tcW w:w="2221" w:type="dxa"/>
            <w:tcBorders>
              <w:top w:val="nil"/>
              <w:left w:val="nil"/>
              <w:bottom w:val="single" w:sz="4" w:space="0" w:color="auto"/>
              <w:right w:val="single" w:sz="4" w:space="0" w:color="auto"/>
            </w:tcBorders>
            <w:shd w:val="clear" w:color="auto" w:fill="auto"/>
            <w:vAlign w:val="center"/>
          </w:tcPr>
          <w:p w14:paraId="47DE7D28" w14:textId="2DB8C447" w:rsidR="00BD1EC5" w:rsidRPr="00CA504F" w:rsidRDefault="00BD1EC5" w:rsidP="00BD1EC5">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863.259</w:t>
            </w:r>
          </w:p>
        </w:tc>
        <w:tc>
          <w:tcPr>
            <w:tcW w:w="1985" w:type="dxa"/>
            <w:vAlign w:val="center"/>
          </w:tcPr>
          <w:p w14:paraId="3D743DED" w14:textId="77777777" w:rsidR="00BD1EC5" w:rsidRPr="00CA504F" w:rsidRDefault="00BD1EC5" w:rsidP="00BD1EC5">
            <w:pPr>
              <w:spacing w:after="60" w:line="360" w:lineRule="auto"/>
              <w:jc w:val="center"/>
              <w:rPr>
                <w:rFonts w:ascii="Times New Roman" w:eastAsia="Times New Roman" w:hAnsi="Times New Roman"/>
                <w:b/>
                <w:sz w:val="24"/>
                <w:szCs w:val="24"/>
              </w:rPr>
            </w:pPr>
          </w:p>
        </w:tc>
      </w:tr>
      <w:tr w:rsidR="00CA504F" w:rsidRPr="00CA504F" w14:paraId="7C62AAD0" w14:textId="77777777" w:rsidTr="00BD1EC5">
        <w:tc>
          <w:tcPr>
            <w:tcW w:w="790" w:type="dxa"/>
            <w:vAlign w:val="center"/>
          </w:tcPr>
          <w:p w14:paraId="7858C780" w14:textId="2BC46C53" w:rsidR="00BD1EC5" w:rsidRPr="00CA504F" w:rsidRDefault="00BD1EC5" w:rsidP="00BD1EC5">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7</w:t>
            </w:r>
          </w:p>
        </w:tc>
        <w:tc>
          <w:tcPr>
            <w:tcW w:w="946" w:type="dxa"/>
            <w:vAlign w:val="center"/>
          </w:tcPr>
          <w:p w14:paraId="00EA847F" w14:textId="297C67F2" w:rsidR="00BD1EC5" w:rsidRPr="00CA504F" w:rsidRDefault="00BD1EC5" w:rsidP="00BD1EC5">
            <w:pPr>
              <w:spacing w:after="60" w:line="360" w:lineRule="auto"/>
              <w:jc w:val="center"/>
              <w:rPr>
                <w:rFonts w:ascii="Times New Roman" w:hAnsi="Times New Roman"/>
                <w:sz w:val="24"/>
                <w:szCs w:val="24"/>
              </w:rPr>
            </w:pPr>
            <w:r w:rsidRPr="00CA504F">
              <w:rPr>
                <w:rFonts w:ascii="Times New Roman" w:hAnsi="Times New Roman"/>
                <w:sz w:val="24"/>
                <w:szCs w:val="24"/>
              </w:rPr>
              <w:t>2022</w:t>
            </w:r>
          </w:p>
        </w:tc>
        <w:tc>
          <w:tcPr>
            <w:tcW w:w="1630" w:type="dxa"/>
            <w:tcBorders>
              <w:top w:val="nil"/>
              <w:left w:val="single" w:sz="4" w:space="0" w:color="auto"/>
              <w:bottom w:val="single" w:sz="4" w:space="0" w:color="auto"/>
              <w:right w:val="single" w:sz="4" w:space="0" w:color="auto"/>
            </w:tcBorders>
            <w:shd w:val="clear" w:color="auto" w:fill="auto"/>
            <w:vAlign w:val="center"/>
          </w:tcPr>
          <w:p w14:paraId="3FE9AD84" w14:textId="24AC86CF" w:rsidR="00BD1EC5" w:rsidRPr="00CA504F" w:rsidRDefault="00BD1EC5" w:rsidP="00BD1EC5">
            <w:pPr>
              <w:spacing w:after="60" w:line="360" w:lineRule="auto"/>
              <w:jc w:val="center"/>
              <w:rPr>
                <w:rFonts w:ascii="Times New Roman" w:hAnsi="Times New Roman"/>
                <w:sz w:val="24"/>
                <w:szCs w:val="24"/>
              </w:rPr>
            </w:pPr>
            <w:r w:rsidRPr="00CA504F">
              <w:rPr>
                <w:rFonts w:ascii="Times New Roman" w:hAnsi="Times New Roman"/>
                <w:sz w:val="24"/>
                <w:szCs w:val="24"/>
              </w:rPr>
              <w:t>17.500.163</w:t>
            </w:r>
          </w:p>
        </w:tc>
        <w:tc>
          <w:tcPr>
            <w:tcW w:w="1835" w:type="dxa"/>
            <w:vAlign w:val="center"/>
          </w:tcPr>
          <w:p w14:paraId="02B26F55" w14:textId="09BC6927" w:rsidR="00BD1EC5" w:rsidRPr="00CA504F" w:rsidRDefault="00BD1EC5" w:rsidP="00BD1EC5">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953.336</w:t>
            </w:r>
          </w:p>
        </w:tc>
        <w:tc>
          <w:tcPr>
            <w:tcW w:w="2221" w:type="dxa"/>
            <w:tcBorders>
              <w:top w:val="nil"/>
              <w:left w:val="nil"/>
              <w:bottom w:val="single" w:sz="4" w:space="0" w:color="auto"/>
              <w:right w:val="single" w:sz="4" w:space="0" w:color="auto"/>
            </w:tcBorders>
            <w:shd w:val="clear" w:color="auto" w:fill="auto"/>
            <w:vAlign w:val="center"/>
          </w:tcPr>
          <w:p w14:paraId="1265CEAC" w14:textId="574ADC51" w:rsidR="00BD1EC5" w:rsidRPr="00CA504F" w:rsidRDefault="008A5724" w:rsidP="00BD1EC5">
            <w:pPr>
              <w:spacing w:after="60" w:line="36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8</w:t>
            </w:r>
            <w:r w:rsidR="00BD1EC5" w:rsidRPr="00CA504F">
              <w:rPr>
                <w:rFonts w:ascii="Times New Roman" w:eastAsia="Times New Roman" w:hAnsi="Times New Roman"/>
                <w:sz w:val="24"/>
                <w:szCs w:val="24"/>
              </w:rPr>
              <w:t>97.4</w:t>
            </w:r>
            <w:r w:rsidRPr="00CA504F">
              <w:rPr>
                <w:rFonts w:ascii="Times New Roman" w:eastAsia="Times New Roman" w:hAnsi="Times New Roman"/>
                <w:sz w:val="24"/>
                <w:szCs w:val="24"/>
              </w:rPr>
              <w:t>87</w:t>
            </w:r>
          </w:p>
        </w:tc>
        <w:tc>
          <w:tcPr>
            <w:tcW w:w="1985" w:type="dxa"/>
            <w:vAlign w:val="center"/>
          </w:tcPr>
          <w:p w14:paraId="66B65834" w14:textId="3CAE8473" w:rsidR="00BD1EC5" w:rsidRPr="00CA504F" w:rsidRDefault="00BD1EC5" w:rsidP="00BD1EC5">
            <w:pPr>
              <w:spacing w:after="60" w:line="360" w:lineRule="auto"/>
              <w:jc w:val="center"/>
              <w:rPr>
                <w:rFonts w:ascii="Times New Roman" w:eastAsia="Times New Roman" w:hAnsi="Times New Roman"/>
                <w:b/>
                <w:sz w:val="24"/>
                <w:szCs w:val="24"/>
              </w:rPr>
            </w:pPr>
          </w:p>
        </w:tc>
      </w:tr>
      <w:tr w:rsidR="00CA504F" w:rsidRPr="00CA504F" w14:paraId="1418B873" w14:textId="77777777" w:rsidTr="008E3C42">
        <w:tc>
          <w:tcPr>
            <w:tcW w:w="3366" w:type="dxa"/>
            <w:gridSpan w:val="3"/>
            <w:tcBorders>
              <w:right w:val="single" w:sz="4" w:space="0" w:color="auto"/>
            </w:tcBorders>
            <w:vAlign w:val="center"/>
          </w:tcPr>
          <w:p w14:paraId="0C888CDF" w14:textId="54A5C359" w:rsidR="00F23574" w:rsidRPr="00CA504F" w:rsidRDefault="00F23574" w:rsidP="00BD1EC5">
            <w:pPr>
              <w:spacing w:after="60" w:line="360" w:lineRule="auto"/>
              <w:jc w:val="center"/>
              <w:rPr>
                <w:rFonts w:ascii="Times New Roman" w:hAnsi="Times New Roman"/>
                <w:b/>
                <w:bCs/>
                <w:sz w:val="24"/>
                <w:szCs w:val="24"/>
              </w:rPr>
            </w:pPr>
            <w:r w:rsidRPr="00CA504F">
              <w:rPr>
                <w:rFonts w:ascii="Times New Roman" w:hAnsi="Times New Roman"/>
                <w:b/>
                <w:bCs/>
                <w:sz w:val="24"/>
                <w:szCs w:val="24"/>
              </w:rPr>
              <w:t>Tổng cộng</w:t>
            </w:r>
          </w:p>
        </w:tc>
        <w:tc>
          <w:tcPr>
            <w:tcW w:w="1835" w:type="dxa"/>
            <w:vAlign w:val="center"/>
          </w:tcPr>
          <w:p w14:paraId="6D90F4CA" w14:textId="72956109" w:rsidR="00F23574" w:rsidRPr="00CA504F" w:rsidRDefault="00F23574" w:rsidP="00BD1EC5">
            <w:pPr>
              <w:spacing w:after="60" w:line="360" w:lineRule="auto"/>
              <w:jc w:val="center"/>
              <w:rPr>
                <w:rFonts w:ascii="Times New Roman" w:eastAsia="Times New Roman" w:hAnsi="Times New Roman"/>
                <w:b/>
                <w:bCs/>
                <w:sz w:val="24"/>
                <w:szCs w:val="24"/>
              </w:rPr>
            </w:pPr>
            <w:r w:rsidRPr="00CA504F">
              <w:rPr>
                <w:rFonts w:ascii="Times New Roman" w:eastAsia="Times New Roman" w:hAnsi="Times New Roman"/>
                <w:b/>
                <w:bCs/>
                <w:sz w:val="24"/>
                <w:szCs w:val="24"/>
              </w:rPr>
              <w:t>5.209.634</w:t>
            </w:r>
          </w:p>
        </w:tc>
        <w:tc>
          <w:tcPr>
            <w:tcW w:w="2221" w:type="dxa"/>
            <w:tcBorders>
              <w:top w:val="nil"/>
              <w:left w:val="nil"/>
              <w:bottom w:val="single" w:sz="4" w:space="0" w:color="auto"/>
              <w:right w:val="single" w:sz="4" w:space="0" w:color="auto"/>
            </w:tcBorders>
            <w:shd w:val="clear" w:color="auto" w:fill="auto"/>
            <w:vAlign w:val="center"/>
          </w:tcPr>
          <w:p w14:paraId="6D0BE8E9" w14:textId="0D0D6585" w:rsidR="00F23574" w:rsidRPr="00CA504F" w:rsidRDefault="008A5724" w:rsidP="00BD1EC5">
            <w:pPr>
              <w:spacing w:after="60" w:line="360" w:lineRule="auto"/>
              <w:jc w:val="center"/>
              <w:rPr>
                <w:rFonts w:ascii="Times New Roman" w:eastAsia="Times New Roman" w:hAnsi="Times New Roman"/>
                <w:sz w:val="24"/>
                <w:szCs w:val="24"/>
              </w:rPr>
            </w:pPr>
            <w:bookmarkStart w:id="2" w:name="_Hlk135970336"/>
            <w:r w:rsidRPr="00CA504F">
              <w:rPr>
                <w:rFonts w:ascii="Times New Roman" w:eastAsia="Times New Roman" w:hAnsi="Times New Roman"/>
                <w:b/>
                <w:sz w:val="24"/>
                <w:szCs w:val="24"/>
              </w:rPr>
              <w:t>4.9</w:t>
            </w:r>
            <w:r w:rsidR="00F23574" w:rsidRPr="00CA504F">
              <w:rPr>
                <w:rFonts w:ascii="Times New Roman" w:eastAsia="Times New Roman" w:hAnsi="Times New Roman"/>
                <w:b/>
                <w:sz w:val="24"/>
                <w:szCs w:val="24"/>
              </w:rPr>
              <w:t>55.</w:t>
            </w:r>
            <w:bookmarkEnd w:id="2"/>
            <w:r w:rsidRPr="00CA504F">
              <w:rPr>
                <w:rFonts w:ascii="Times New Roman" w:eastAsia="Times New Roman" w:hAnsi="Times New Roman"/>
                <w:b/>
                <w:sz w:val="24"/>
                <w:szCs w:val="24"/>
              </w:rPr>
              <w:t>804</w:t>
            </w:r>
          </w:p>
        </w:tc>
        <w:tc>
          <w:tcPr>
            <w:tcW w:w="1985" w:type="dxa"/>
            <w:vAlign w:val="center"/>
          </w:tcPr>
          <w:p w14:paraId="7CF31279" w14:textId="77777777" w:rsidR="00F23574" w:rsidRPr="00CA504F" w:rsidRDefault="00F23574" w:rsidP="00BD1EC5">
            <w:pPr>
              <w:spacing w:after="60" w:line="360" w:lineRule="auto"/>
              <w:jc w:val="center"/>
              <w:rPr>
                <w:rFonts w:ascii="Times New Roman" w:eastAsia="Times New Roman" w:hAnsi="Times New Roman"/>
                <w:b/>
                <w:sz w:val="24"/>
                <w:szCs w:val="24"/>
              </w:rPr>
            </w:pPr>
          </w:p>
        </w:tc>
      </w:tr>
    </w:tbl>
    <w:p w14:paraId="7DD16529" w14:textId="77777777" w:rsidR="000856FA" w:rsidRPr="00CA504F" w:rsidRDefault="000856FA" w:rsidP="000856FA">
      <w:pPr>
        <w:pStyle w:val="1"/>
        <w:spacing w:after="60"/>
        <w:jc w:val="right"/>
        <w:rPr>
          <w:b w:val="0"/>
          <w:i/>
          <w:sz w:val="24"/>
          <w:szCs w:val="28"/>
        </w:rPr>
      </w:pPr>
      <w:r w:rsidRPr="00CA504F">
        <w:rPr>
          <w:b w:val="0"/>
          <w:i/>
          <w:sz w:val="24"/>
          <w:szCs w:val="28"/>
        </w:rPr>
        <w:t>(Nguồn: Hệ thống quản lý chính sách TCS)</w:t>
      </w:r>
    </w:p>
    <w:p w14:paraId="3C6F51EA" w14:textId="77777777" w:rsidR="00AF3C86" w:rsidRDefault="00A30F6D" w:rsidP="00A56C58">
      <w:pPr>
        <w:pStyle w:val="1"/>
        <w:spacing w:after="120" w:line="276" w:lineRule="auto"/>
        <w:ind w:firstLine="709"/>
        <w:jc w:val="both"/>
        <w:rPr>
          <w:b w:val="0"/>
          <w:sz w:val="28"/>
          <w:szCs w:val="28"/>
          <w:lang w:val="pt-BR"/>
        </w:rPr>
      </w:pPr>
      <w:r w:rsidRPr="00CA504F">
        <w:rPr>
          <w:b w:val="0"/>
          <w:sz w:val="28"/>
          <w:szCs w:val="28"/>
          <w:lang w:val="pt-BR"/>
        </w:rPr>
        <w:lastRenderedPageBreak/>
        <w:t>Tuy nhiên, không phải</w:t>
      </w:r>
      <w:r w:rsidR="0046333C" w:rsidRPr="00CA504F">
        <w:rPr>
          <w:b w:val="0"/>
          <w:sz w:val="28"/>
          <w:szCs w:val="28"/>
          <w:lang w:val="pt-BR"/>
        </w:rPr>
        <w:t xml:space="preserve"> toàn bộ </w:t>
      </w:r>
      <w:r w:rsidRPr="00CA504F">
        <w:rPr>
          <w:b w:val="0"/>
          <w:sz w:val="28"/>
          <w:szCs w:val="28"/>
          <w:lang w:val="pt-BR"/>
        </w:rPr>
        <w:t xml:space="preserve">số người lao động hưởng BHXH một lần trong giai đoạn 2016 -2022 </w:t>
      </w:r>
      <w:r w:rsidR="0046333C" w:rsidRPr="00CA504F">
        <w:rPr>
          <w:b w:val="0"/>
          <w:sz w:val="28"/>
          <w:szCs w:val="28"/>
          <w:lang w:val="pt-BR"/>
        </w:rPr>
        <w:t xml:space="preserve">ra khỏi </w:t>
      </w:r>
      <w:r w:rsidR="000050B8" w:rsidRPr="00CA504F">
        <w:rPr>
          <w:b w:val="0"/>
          <w:sz w:val="28"/>
          <w:szCs w:val="28"/>
          <w:lang w:val="pt-BR"/>
        </w:rPr>
        <w:t>hệ thống</w:t>
      </w:r>
      <w:r w:rsidR="00E85346" w:rsidRPr="00CA504F">
        <w:rPr>
          <w:b w:val="0"/>
          <w:sz w:val="28"/>
          <w:szCs w:val="28"/>
          <w:lang w:val="pt-BR"/>
        </w:rPr>
        <w:t xml:space="preserve"> BHXH</w:t>
      </w:r>
      <w:r w:rsidR="0046333C" w:rsidRPr="00CA504F">
        <w:rPr>
          <w:b w:val="0"/>
          <w:sz w:val="28"/>
          <w:szCs w:val="28"/>
          <w:lang w:val="pt-BR"/>
        </w:rPr>
        <w:t xml:space="preserve"> mà </w:t>
      </w:r>
      <w:r w:rsidR="00E85346" w:rsidRPr="00CA504F">
        <w:rPr>
          <w:bCs/>
          <w:i/>
          <w:iCs/>
          <w:sz w:val="28"/>
          <w:szCs w:val="28"/>
          <w:lang w:val="pt-BR"/>
        </w:rPr>
        <w:t xml:space="preserve">đã có </w:t>
      </w:r>
      <w:r w:rsidR="00AF7BD4" w:rsidRPr="00CA504F">
        <w:rPr>
          <w:bCs/>
          <w:i/>
          <w:iCs/>
          <w:sz w:val="28"/>
          <w:szCs w:val="28"/>
          <w:lang w:val="pt-BR"/>
        </w:rPr>
        <w:t>gần 1,3 triệu</w:t>
      </w:r>
      <w:r w:rsidRPr="00CA504F">
        <w:rPr>
          <w:bCs/>
          <w:i/>
          <w:iCs/>
          <w:sz w:val="28"/>
          <w:szCs w:val="28"/>
          <w:lang w:val="pt-BR"/>
        </w:rPr>
        <w:t xml:space="preserve"> người đã quay trở lại đóng BHXH, chiếm tỷ lệ khoảng 26% số người hưởng</w:t>
      </w:r>
      <w:r w:rsidRPr="00CA504F">
        <w:rPr>
          <w:b w:val="0"/>
          <w:sz w:val="28"/>
          <w:szCs w:val="28"/>
          <w:lang w:val="pt-BR"/>
        </w:rPr>
        <w:t xml:space="preserve"> giai đoạn này.</w:t>
      </w:r>
      <w:r w:rsidR="00E85346" w:rsidRPr="00CA504F">
        <w:rPr>
          <w:b w:val="0"/>
          <w:sz w:val="28"/>
          <w:szCs w:val="28"/>
          <w:lang w:val="pt-BR"/>
        </w:rPr>
        <w:t xml:space="preserve"> </w:t>
      </w:r>
      <w:r w:rsidR="00A56C58" w:rsidRPr="00A56C58">
        <w:rPr>
          <w:b w:val="0"/>
          <w:sz w:val="28"/>
          <w:szCs w:val="28"/>
          <w:lang w:val="pt-BR"/>
        </w:rPr>
        <w:t xml:space="preserve">Như vậy, có thể thấy </w:t>
      </w:r>
      <w:r w:rsidR="00A56C58">
        <w:rPr>
          <w:b w:val="0"/>
          <w:sz w:val="28"/>
          <w:szCs w:val="28"/>
          <w:lang w:val="pt-BR"/>
        </w:rPr>
        <w:t>người lao động</w:t>
      </w:r>
      <w:r w:rsidR="00A56C58" w:rsidRPr="00A56C58">
        <w:rPr>
          <w:b w:val="0"/>
          <w:sz w:val="28"/>
          <w:szCs w:val="28"/>
          <w:lang w:val="pt-BR"/>
        </w:rPr>
        <w:t xml:space="preserve"> hưởng </w:t>
      </w:r>
      <w:r w:rsidR="00A56C58">
        <w:rPr>
          <w:b w:val="0"/>
          <w:sz w:val="28"/>
          <w:szCs w:val="28"/>
          <w:lang w:val="pt-BR"/>
        </w:rPr>
        <w:t>BHXH</w:t>
      </w:r>
      <w:r w:rsidR="00A56C58" w:rsidRPr="00A56C58">
        <w:rPr>
          <w:b w:val="0"/>
          <w:sz w:val="28"/>
          <w:szCs w:val="28"/>
          <w:lang w:val="pt-BR"/>
        </w:rPr>
        <w:t xml:space="preserve"> 1 lần khi trẻ tuổi nên độ tuổi này họ vẫn có nhu cầu làm việc và tiếp tục được tuyển dụng làm việc có đóng BHXH.</w:t>
      </w:r>
      <w:r w:rsidR="00A56C58">
        <w:rPr>
          <w:b w:val="0"/>
          <w:sz w:val="28"/>
          <w:szCs w:val="28"/>
          <w:lang w:val="pt-BR"/>
        </w:rPr>
        <w:t xml:space="preserve"> </w:t>
      </w:r>
    </w:p>
    <w:p w14:paraId="68C3685D" w14:textId="68984CA9" w:rsidR="00FD5D97" w:rsidRPr="00CA504F" w:rsidRDefault="008A4370" w:rsidP="00FD5D97">
      <w:pPr>
        <w:pStyle w:val="1"/>
        <w:spacing w:after="120" w:line="276" w:lineRule="auto"/>
        <w:ind w:firstLine="709"/>
        <w:jc w:val="both"/>
        <w:rPr>
          <w:b w:val="0"/>
          <w:sz w:val="28"/>
          <w:szCs w:val="28"/>
          <w:lang w:val="pt-BR"/>
        </w:rPr>
      </w:pPr>
      <w:r w:rsidRPr="00CA504F">
        <w:rPr>
          <w:b w:val="0"/>
          <w:sz w:val="28"/>
          <w:szCs w:val="28"/>
          <w:lang w:val="pt-BR"/>
        </w:rPr>
        <w:t xml:space="preserve">- Bên cạnh đó, </w:t>
      </w:r>
      <w:r w:rsidR="00AF3C86">
        <w:rPr>
          <w:b w:val="0"/>
          <w:sz w:val="28"/>
          <w:szCs w:val="28"/>
          <w:lang w:val="pt-BR"/>
        </w:rPr>
        <w:t>t</w:t>
      </w:r>
      <w:r w:rsidR="002658A6" w:rsidRPr="00CA504F">
        <w:rPr>
          <w:b w:val="0"/>
          <w:sz w:val="28"/>
          <w:szCs w:val="28"/>
          <w:lang w:val="pt-BR"/>
        </w:rPr>
        <w:t>heo số liệu thống kê, thì trong giai đoạn 2016-2022 số người hưởng hai lần chế độ BHXH một lần là 906.856 người</w:t>
      </w:r>
      <w:r w:rsidR="00FD5D97" w:rsidRPr="00CA504F">
        <w:rPr>
          <w:b w:val="0"/>
          <w:sz w:val="28"/>
          <w:szCs w:val="28"/>
          <w:lang w:val="pt-BR"/>
        </w:rPr>
        <w:t xml:space="preserve">, số người hưởng ba lần chế độ BHXH một lần là 61.347 người. Như vậy, con số </w:t>
      </w:r>
      <w:r w:rsidR="00963B4F" w:rsidRPr="00CA504F">
        <w:rPr>
          <w:b w:val="0"/>
          <w:sz w:val="28"/>
          <w:szCs w:val="28"/>
          <w:lang w:val="vi-VN"/>
        </w:rPr>
        <w:t xml:space="preserve">3.547.344 </w:t>
      </w:r>
      <w:r w:rsidR="00FD5D97" w:rsidRPr="00CA504F">
        <w:rPr>
          <w:b w:val="0"/>
          <w:sz w:val="28"/>
          <w:szCs w:val="28"/>
          <w:lang w:val="pt-BR"/>
        </w:rPr>
        <w:t>người lao động hưởng BHXH một lần (sau khi đã loại trừ những người quay trở lại hệ thống BHXH) thực tế sẽ còn thấp hơn.</w:t>
      </w:r>
    </w:p>
    <w:p w14:paraId="344CA917" w14:textId="6AD0D68A" w:rsidR="002658A6" w:rsidRPr="00CA504F" w:rsidRDefault="002658A6" w:rsidP="00FD5D97">
      <w:pPr>
        <w:pStyle w:val="1"/>
        <w:spacing w:after="120" w:line="276" w:lineRule="auto"/>
        <w:ind w:firstLine="709"/>
        <w:jc w:val="both"/>
        <w:rPr>
          <w:bCs/>
          <w:sz w:val="24"/>
          <w:szCs w:val="24"/>
          <w:lang w:val="pt-BR"/>
        </w:rPr>
      </w:pPr>
      <w:r w:rsidRPr="00CA504F">
        <w:rPr>
          <w:bCs/>
          <w:sz w:val="24"/>
          <w:szCs w:val="24"/>
          <w:lang w:val="pt-BR"/>
        </w:rPr>
        <w:t>Bảng 3: Tần suất hưởng BHXH một lần của người lao động giai đoạn 2016-2022</w:t>
      </w:r>
    </w:p>
    <w:p w14:paraId="3673CB02" w14:textId="1B64DCE0" w:rsidR="000050B8" w:rsidRPr="00CA504F" w:rsidRDefault="002658A6" w:rsidP="00F66AA9">
      <w:pPr>
        <w:pStyle w:val="1"/>
        <w:spacing w:after="120" w:line="276" w:lineRule="auto"/>
        <w:jc w:val="both"/>
        <w:rPr>
          <w:b w:val="0"/>
          <w:sz w:val="28"/>
          <w:szCs w:val="28"/>
          <w:lang w:val="pt-BR"/>
        </w:rPr>
      </w:pPr>
      <w:r w:rsidRPr="00CA504F">
        <w:rPr>
          <w:noProof/>
        </w:rPr>
        <w:drawing>
          <wp:inline distT="0" distB="0" distL="0" distR="0" wp14:anchorId="4E47DD6D" wp14:editId="6D54791A">
            <wp:extent cx="5932972" cy="2895600"/>
            <wp:effectExtent l="0" t="0" r="0" b="0"/>
            <wp:docPr id="15329306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4628" cy="2925691"/>
                    </a:xfrm>
                    <a:prstGeom prst="rect">
                      <a:avLst/>
                    </a:prstGeom>
                    <a:noFill/>
                    <a:ln>
                      <a:noFill/>
                    </a:ln>
                  </pic:spPr>
                </pic:pic>
              </a:graphicData>
            </a:graphic>
          </wp:inline>
        </w:drawing>
      </w:r>
    </w:p>
    <w:p w14:paraId="09A77D0A" w14:textId="77777777" w:rsidR="00022C02" w:rsidRPr="00CA504F" w:rsidRDefault="00022C02" w:rsidP="00022C02">
      <w:pPr>
        <w:pStyle w:val="1"/>
        <w:spacing w:after="60"/>
        <w:jc w:val="right"/>
        <w:rPr>
          <w:b w:val="0"/>
          <w:i/>
          <w:sz w:val="24"/>
          <w:szCs w:val="28"/>
        </w:rPr>
      </w:pPr>
      <w:r w:rsidRPr="00CA504F">
        <w:rPr>
          <w:b w:val="0"/>
          <w:i/>
          <w:sz w:val="24"/>
          <w:szCs w:val="28"/>
        </w:rPr>
        <w:t>(Nguồn: Hệ thống quản lý chính sách TCS)</w:t>
      </w:r>
    </w:p>
    <w:p w14:paraId="6522E30F" w14:textId="1061EB6E" w:rsidR="000856FA" w:rsidRPr="00CA504F" w:rsidRDefault="000856FA" w:rsidP="00BC202A">
      <w:pPr>
        <w:pStyle w:val="1"/>
        <w:spacing w:after="120" w:line="276" w:lineRule="auto"/>
        <w:ind w:firstLine="709"/>
        <w:jc w:val="both"/>
        <w:rPr>
          <w:b w:val="0"/>
          <w:sz w:val="28"/>
          <w:szCs w:val="28"/>
          <w:lang w:val="pt-BR"/>
        </w:rPr>
      </w:pPr>
      <w:r w:rsidRPr="00CA504F">
        <w:rPr>
          <w:b w:val="0"/>
          <w:sz w:val="28"/>
          <w:szCs w:val="28"/>
          <w:lang w:val="pt-BR"/>
        </w:rPr>
        <w:t xml:space="preserve">- Xét theo nơi làm việc khi </w:t>
      </w:r>
      <w:r w:rsidR="00912296" w:rsidRPr="00CA504F">
        <w:rPr>
          <w:b w:val="0"/>
          <w:sz w:val="28"/>
          <w:szCs w:val="28"/>
          <w:lang w:val="pt-BR"/>
        </w:rPr>
        <w:t>người lao động</w:t>
      </w:r>
      <w:r w:rsidRPr="00CA504F">
        <w:rPr>
          <w:b w:val="0"/>
          <w:sz w:val="28"/>
          <w:szCs w:val="28"/>
          <w:lang w:val="pt-BR"/>
        </w:rPr>
        <w:t xml:space="preserve"> hưởng BHXH một lần, ta có bảng dưới đây:</w:t>
      </w:r>
    </w:p>
    <w:p w14:paraId="066D9862" w14:textId="63AABD39" w:rsidR="000856FA" w:rsidRPr="00CA504F" w:rsidRDefault="000856FA" w:rsidP="00BC202A">
      <w:pPr>
        <w:pStyle w:val="1"/>
        <w:spacing w:after="120" w:line="276" w:lineRule="auto"/>
        <w:ind w:firstLine="709"/>
        <w:rPr>
          <w:bCs/>
          <w:sz w:val="24"/>
          <w:szCs w:val="28"/>
          <w:lang w:val="pt-BR"/>
        </w:rPr>
      </w:pPr>
      <w:r w:rsidRPr="00CA504F">
        <w:rPr>
          <w:bCs/>
          <w:sz w:val="24"/>
          <w:szCs w:val="28"/>
          <w:lang w:val="pt-BR"/>
        </w:rPr>
        <w:t xml:space="preserve">Bảng </w:t>
      </w:r>
      <w:r w:rsidR="00E93C72" w:rsidRPr="00CA504F">
        <w:rPr>
          <w:bCs/>
          <w:sz w:val="24"/>
          <w:szCs w:val="28"/>
          <w:lang w:val="pt-BR"/>
        </w:rPr>
        <w:t>4</w:t>
      </w:r>
      <w:r w:rsidRPr="00CA504F">
        <w:rPr>
          <w:bCs/>
          <w:sz w:val="24"/>
          <w:szCs w:val="28"/>
          <w:lang w:val="pt-BR"/>
        </w:rPr>
        <w:t>: Số người hưởng B</w:t>
      </w:r>
      <w:r w:rsidR="00E93C72" w:rsidRPr="00CA504F">
        <w:rPr>
          <w:bCs/>
          <w:sz w:val="24"/>
          <w:szCs w:val="28"/>
          <w:lang w:val="pt-BR"/>
        </w:rPr>
        <w:t>HXH</w:t>
      </w:r>
      <w:r w:rsidRPr="00CA504F">
        <w:rPr>
          <w:bCs/>
          <w:sz w:val="24"/>
          <w:szCs w:val="28"/>
          <w:lang w:val="pt-BR"/>
        </w:rPr>
        <w:t xml:space="preserve"> một lần theo nơi làm việc</w:t>
      </w:r>
    </w:p>
    <w:p w14:paraId="357BAA97" w14:textId="77777777" w:rsidR="000856FA" w:rsidRPr="00CA504F" w:rsidRDefault="000856FA" w:rsidP="00BC202A">
      <w:pPr>
        <w:pStyle w:val="1"/>
        <w:spacing w:after="120" w:line="276" w:lineRule="auto"/>
        <w:ind w:firstLine="709"/>
        <w:jc w:val="right"/>
        <w:rPr>
          <w:b w:val="0"/>
          <w:i/>
          <w:sz w:val="24"/>
          <w:szCs w:val="28"/>
          <w:lang w:val="pt-BR"/>
        </w:rPr>
      </w:pPr>
      <w:r w:rsidRPr="00CA504F">
        <w:rPr>
          <w:b w:val="0"/>
          <w:bCs/>
          <w:i/>
          <w:sz w:val="24"/>
          <w:szCs w:val="28"/>
          <w:lang w:val="pt-BR"/>
        </w:rPr>
        <w:t>ĐVT: Người</w:t>
      </w:r>
    </w:p>
    <w:tbl>
      <w:tblPr>
        <w:tblStyle w:val="TableGrid"/>
        <w:tblW w:w="9340" w:type="dxa"/>
        <w:tblInd w:w="-5" w:type="dxa"/>
        <w:tblLook w:val="04A0" w:firstRow="1" w:lastRow="0" w:firstColumn="1" w:lastColumn="0" w:noHBand="0" w:noVBand="1"/>
      </w:tblPr>
      <w:tblGrid>
        <w:gridCol w:w="1985"/>
        <w:gridCol w:w="1470"/>
        <w:gridCol w:w="1507"/>
        <w:gridCol w:w="1459"/>
        <w:gridCol w:w="1460"/>
        <w:gridCol w:w="1459"/>
      </w:tblGrid>
      <w:tr w:rsidR="00CA504F" w:rsidRPr="00CA504F" w14:paraId="519BE521" w14:textId="77777777" w:rsidTr="00BC202A">
        <w:trPr>
          <w:trHeight w:val="518"/>
        </w:trPr>
        <w:tc>
          <w:tcPr>
            <w:tcW w:w="1985" w:type="dxa"/>
          </w:tcPr>
          <w:p w14:paraId="644C252A" w14:textId="77777777" w:rsidR="000856FA" w:rsidRPr="00CA504F" w:rsidRDefault="000856FA" w:rsidP="000856FA">
            <w:pPr>
              <w:pStyle w:val="1"/>
              <w:spacing w:after="60"/>
              <w:jc w:val="both"/>
              <w:rPr>
                <w:bCs/>
                <w:sz w:val="24"/>
                <w:lang w:val="pt-BR"/>
              </w:rPr>
            </w:pPr>
            <w:r w:rsidRPr="00CA504F">
              <w:rPr>
                <w:bCs/>
                <w:sz w:val="24"/>
                <w:lang w:val="pt-BR"/>
              </w:rPr>
              <w:t>Nơi làm việc</w:t>
            </w:r>
          </w:p>
        </w:tc>
        <w:tc>
          <w:tcPr>
            <w:tcW w:w="1470" w:type="dxa"/>
          </w:tcPr>
          <w:p w14:paraId="583AB2F1" w14:textId="77777777" w:rsidR="000856FA" w:rsidRPr="00CA504F" w:rsidRDefault="000856FA" w:rsidP="000856FA">
            <w:pPr>
              <w:pStyle w:val="1"/>
              <w:spacing w:after="60"/>
              <w:jc w:val="both"/>
              <w:rPr>
                <w:bCs/>
                <w:sz w:val="24"/>
                <w:lang w:val="pt-BR"/>
              </w:rPr>
            </w:pPr>
            <w:r w:rsidRPr="00CA504F">
              <w:rPr>
                <w:bCs/>
                <w:sz w:val="24"/>
                <w:lang w:val="pt-BR"/>
              </w:rPr>
              <w:t>Năm 2016</w:t>
            </w:r>
          </w:p>
        </w:tc>
        <w:tc>
          <w:tcPr>
            <w:tcW w:w="1507" w:type="dxa"/>
          </w:tcPr>
          <w:p w14:paraId="5EEFBCF6" w14:textId="77777777" w:rsidR="000856FA" w:rsidRPr="00CA504F" w:rsidRDefault="000856FA" w:rsidP="000856FA">
            <w:pPr>
              <w:pStyle w:val="1"/>
              <w:spacing w:after="60"/>
              <w:jc w:val="both"/>
              <w:rPr>
                <w:bCs/>
                <w:sz w:val="24"/>
                <w:lang w:val="pt-BR"/>
              </w:rPr>
            </w:pPr>
            <w:r w:rsidRPr="00CA504F">
              <w:rPr>
                <w:bCs/>
                <w:sz w:val="24"/>
                <w:lang w:val="pt-BR"/>
              </w:rPr>
              <w:t>Năm 2017</w:t>
            </w:r>
          </w:p>
        </w:tc>
        <w:tc>
          <w:tcPr>
            <w:tcW w:w="1459" w:type="dxa"/>
          </w:tcPr>
          <w:p w14:paraId="2E311B69" w14:textId="77777777" w:rsidR="000856FA" w:rsidRPr="00CA504F" w:rsidRDefault="000856FA" w:rsidP="000856FA">
            <w:pPr>
              <w:pStyle w:val="1"/>
              <w:spacing w:after="60"/>
              <w:jc w:val="both"/>
              <w:rPr>
                <w:bCs/>
                <w:sz w:val="24"/>
                <w:lang w:val="pt-BR"/>
              </w:rPr>
            </w:pPr>
            <w:r w:rsidRPr="00CA504F">
              <w:rPr>
                <w:bCs/>
                <w:sz w:val="24"/>
                <w:lang w:val="pt-BR"/>
              </w:rPr>
              <w:t>Năm 2018</w:t>
            </w:r>
          </w:p>
        </w:tc>
        <w:tc>
          <w:tcPr>
            <w:tcW w:w="1460" w:type="dxa"/>
          </w:tcPr>
          <w:p w14:paraId="2CF55028" w14:textId="77777777" w:rsidR="000856FA" w:rsidRPr="00CA504F" w:rsidRDefault="000856FA" w:rsidP="000856FA">
            <w:pPr>
              <w:pStyle w:val="1"/>
              <w:spacing w:after="60"/>
              <w:jc w:val="both"/>
              <w:rPr>
                <w:bCs/>
                <w:sz w:val="24"/>
                <w:lang w:val="pt-BR"/>
              </w:rPr>
            </w:pPr>
            <w:r w:rsidRPr="00CA504F">
              <w:rPr>
                <w:bCs/>
                <w:sz w:val="24"/>
                <w:lang w:val="pt-BR"/>
              </w:rPr>
              <w:t>Năm 2019</w:t>
            </w:r>
          </w:p>
        </w:tc>
        <w:tc>
          <w:tcPr>
            <w:tcW w:w="1459" w:type="dxa"/>
          </w:tcPr>
          <w:p w14:paraId="5A10CD2C" w14:textId="77777777" w:rsidR="000856FA" w:rsidRPr="00CA504F" w:rsidRDefault="000856FA" w:rsidP="000856FA">
            <w:pPr>
              <w:pStyle w:val="1"/>
              <w:spacing w:after="60"/>
              <w:jc w:val="both"/>
              <w:rPr>
                <w:bCs/>
                <w:sz w:val="24"/>
                <w:lang w:val="pt-BR"/>
              </w:rPr>
            </w:pPr>
            <w:r w:rsidRPr="00CA504F">
              <w:rPr>
                <w:bCs/>
                <w:sz w:val="24"/>
                <w:lang w:val="pt-BR"/>
              </w:rPr>
              <w:t>Năm 2020</w:t>
            </w:r>
          </w:p>
        </w:tc>
      </w:tr>
      <w:tr w:rsidR="00CA504F" w:rsidRPr="00CA504F" w14:paraId="150A3790" w14:textId="77777777" w:rsidTr="00BC202A">
        <w:trPr>
          <w:trHeight w:val="617"/>
        </w:trPr>
        <w:tc>
          <w:tcPr>
            <w:tcW w:w="1985" w:type="dxa"/>
            <w:vAlign w:val="center"/>
          </w:tcPr>
          <w:p w14:paraId="64B1FC27" w14:textId="77777777" w:rsidR="000856FA" w:rsidRPr="00CA504F" w:rsidRDefault="000856FA" w:rsidP="000856FA">
            <w:pPr>
              <w:pStyle w:val="1"/>
              <w:spacing w:after="60"/>
              <w:rPr>
                <w:b w:val="0"/>
                <w:bCs/>
                <w:sz w:val="24"/>
                <w:lang w:val="pt-BR"/>
              </w:rPr>
            </w:pPr>
            <w:r w:rsidRPr="00CA504F">
              <w:rPr>
                <w:b w:val="0"/>
                <w:bCs/>
                <w:sz w:val="24"/>
                <w:lang w:val="pt-BR"/>
              </w:rPr>
              <w:t>Nhà nước</w:t>
            </w:r>
          </w:p>
        </w:tc>
        <w:tc>
          <w:tcPr>
            <w:tcW w:w="1470" w:type="dxa"/>
            <w:vAlign w:val="center"/>
          </w:tcPr>
          <w:p w14:paraId="1B2343DB" w14:textId="77777777" w:rsidR="000856FA" w:rsidRPr="00CA504F" w:rsidRDefault="000856FA" w:rsidP="000856FA">
            <w:pPr>
              <w:pStyle w:val="1"/>
              <w:spacing w:after="60"/>
              <w:rPr>
                <w:b w:val="0"/>
                <w:bCs/>
                <w:sz w:val="24"/>
                <w:lang w:val="pt-BR"/>
              </w:rPr>
            </w:pPr>
            <w:r w:rsidRPr="00CA504F">
              <w:rPr>
                <w:b w:val="0"/>
                <w:bCs/>
                <w:sz w:val="24"/>
                <w:lang w:val="pt-BR"/>
              </w:rPr>
              <w:t>39.943</w:t>
            </w:r>
          </w:p>
        </w:tc>
        <w:tc>
          <w:tcPr>
            <w:tcW w:w="1507" w:type="dxa"/>
            <w:vAlign w:val="center"/>
          </w:tcPr>
          <w:p w14:paraId="32EEDA50" w14:textId="77777777" w:rsidR="000856FA" w:rsidRPr="00CA504F" w:rsidRDefault="000856FA" w:rsidP="000856FA">
            <w:pPr>
              <w:pStyle w:val="1"/>
              <w:spacing w:after="60"/>
              <w:rPr>
                <w:b w:val="0"/>
                <w:bCs/>
                <w:sz w:val="24"/>
                <w:lang w:val="pt-BR"/>
              </w:rPr>
            </w:pPr>
            <w:r w:rsidRPr="00CA504F">
              <w:rPr>
                <w:b w:val="0"/>
                <w:bCs/>
                <w:sz w:val="24"/>
                <w:lang w:val="pt-BR"/>
              </w:rPr>
              <w:t>40.431</w:t>
            </w:r>
          </w:p>
        </w:tc>
        <w:tc>
          <w:tcPr>
            <w:tcW w:w="1459" w:type="dxa"/>
            <w:vAlign w:val="center"/>
          </w:tcPr>
          <w:p w14:paraId="1039F9EB" w14:textId="77777777" w:rsidR="000856FA" w:rsidRPr="00CA504F" w:rsidRDefault="000856FA" w:rsidP="000856FA">
            <w:pPr>
              <w:pStyle w:val="1"/>
              <w:spacing w:after="60"/>
              <w:rPr>
                <w:b w:val="0"/>
                <w:bCs/>
                <w:sz w:val="24"/>
                <w:lang w:val="pt-BR"/>
              </w:rPr>
            </w:pPr>
            <w:r w:rsidRPr="00CA504F">
              <w:rPr>
                <w:b w:val="0"/>
                <w:bCs/>
                <w:sz w:val="24"/>
                <w:lang w:val="pt-BR"/>
              </w:rPr>
              <w:t>38.450</w:t>
            </w:r>
          </w:p>
        </w:tc>
        <w:tc>
          <w:tcPr>
            <w:tcW w:w="1460" w:type="dxa"/>
            <w:vAlign w:val="center"/>
          </w:tcPr>
          <w:p w14:paraId="1B357175" w14:textId="77777777" w:rsidR="000856FA" w:rsidRPr="00CA504F" w:rsidRDefault="000856FA" w:rsidP="000856FA">
            <w:pPr>
              <w:pStyle w:val="1"/>
              <w:spacing w:after="60"/>
              <w:rPr>
                <w:b w:val="0"/>
                <w:bCs/>
                <w:sz w:val="24"/>
                <w:lang w:val="pt-BR"/>
              </w:rPr>
            </w:pPr>
            <w:r w:rsidRPr="00CA504F">
              <w:rPr>
                <w:b w:val="0"/>
                <w:bCs/>
                <w:sz w:val="24"/>
                <w:lang w:val="pt-BR"/>
              </w:rPr>
              <w:t>60.426</w:t>
            </w:r>
          </w:p>
        </w:tc>
        <w:tc>
          <w:tcPr>
            <w:tcW w:w="1459" w:type="dxa"/>
            <w:vAlign w:val="center"/>
          </w:tcPr>
          <w:p w14:paraId="6C4E5B1C" w14:textId="77777777" w:rsidR="000856FA" w:rsidRPr="00CA504F" w:rsidRDefault="000856FA" w:rsidP="000856FA">
            <w:pPr>
              <w:pStyle w:val="1"/>
              <w:spacing w:after="60"/>
              <w:rPr>
                <w:b w:val="0"/>
                <w:bCs/>
                <w:sz w:val="24"/>
                <w:lang w:val="pt-BR"/>
              </w:rPr>
            </w:pPr>
            <w:r w:rsidRPr="00CA504F">
              <w:rPr>
                <w:b w:val="0"/>
                <w:bCs/>
                <w:sz w:val="24"/>
                <w:lang w:val="pt-BR"/>
              </w:rPr>
              <w:t>77.752</w:t>
            </w:r>
          </w:p>
        </w:tc>
      </w:tr>
      <w:tr w:rsidR="00CA504F" w:rsidRPr="00CA504F" w14:paraId="64EEAD5A" w14:textId="77777777" w:rsidTr="00BC202A">
        <w:trPr>
          <w:trHeight w:val="598"/>
        </w:trPr>
        <w:tc>
          <w:tcPr>
            <w:tcW w:w="1985" w:type="dxa"/>
            <w:vAlign w:val="center"/>
          </w:tcPr>
          <w:p w14:paraId="4402427D" w14:textId="77777777" w:rsidR="000856FA" w:rsidRPr="00CA504F" w:rsidRDefault="000856FA" w:rsidP="000856FA">
            <w:pPr>
              <w:pStyle w:val="1"/>
              <w:spacing w:after="60"/>
              <w:rPr>
                <w:b w:val="0"/>
                <w:bCs/>
                <w:sz w:val="24"/>
                <w:lang w:val="pt-BR"/>
              </w:rPr>
            </w:pPr>
            <w:r w:rsidRPr="00CA504F">
              <w:rPr>
                <w:b w:val="0"/>
                <w:bCs/>
                <w:sz w:val="24"/>
                <w:lang w:val="pt-BR"/>
              </w:rPr>
              <w:t>Ngoài Nhà nước</w:t>
            </w:r>
          </w:p>
        </w:tc>
        <w:tc>
          <w:tcPr>
            <w:tcW w:w="1470" w:type="dxa"/>
            <w:vAlign w:val="center"/>
          </w:tcPr>
          <w:p w14:paraId="25BD9193" w14:textId="77777777" w:rsidR="000856FA" w:rsidRPr="00CA504F" w:rsidRDefault="000856FA" w:rsidP="000856FA">
            <w:pPr>
              <w:pStyle w:val="1"/>
              <w:spacing w:after="60"/>
              <w:rPr>
                <w:b w:val="0"/>
                <w:bCs/>
                <w:sz w:val="24"/>
                <w:lang w:val="pt-BR"/>
              </w:rPr>
            </w:pPr>
            <w:r w:rsidRPr="00CA504F">
              <w:rPr>
                <w:b w:val="0"/>
                <w:bCs/>
                <w:sz w:val="24"/>
                <w:lang w:val="pt-BR"/>
              </w:rPr>
              <w:t>454.982</w:t>
            </w:r>
          </w:p>
        </w:tc>
        <w:tc>
          <w:tcPr>
            <w:tcW w:w="1507" w:type="dxa"/>
            <w:vAlign w:val="center"/>
          </w:tcPr>
          <w:p w14:paraId="748677E9" w14:textId="77777777" w:rsidR="000856FA" w:rsidRPr="00CA504F" w:rsidRDefault="000856FA" w:rsidP="000856FA">
            <w:pPr>
              <w:pStyle w:val="1"/>
              <w:spacing w:after="60"/>
              <w:rPr>
                <w:b w:val="0"/>
                <w:bCs/>
                <w:sz w:val="24"/>
                <w:lang w:val="pt-BR"/>
              </w:rPr>
            </w:pPr>
            <w:r w:rsidRPr="00CA504F">
              <w:rPr>
                <w:b w:val="0"/>
                <w:bCs/>
                <w:sz w:val="24"/>
                <w:lang w:val="pt-BR"/>
              </w:rPr>
              <w:t>513.927</w:t>
            </w:r>
          </w:p>
        </w:tc>
        <w:tc>
          <w:tcPr>
            <w:tcW w:w="1459" w:type="dxa"/>
            <w:vAlign w:val="center"/>
          </w:tcPr>
          <w:p w14:paraId="65B318BB" w14:textId="77777777" w:rsidR="000856FA" w:rsidRPr="00CA504F" w:rsidRDefault="000856FA" w:rsidP="000856FA">
            <w:pPr>
              <w:pStyle w:val="1"/>
              <w:spacing w:after="60"/>
              <w:rPr>
                <w:b w:val="0"/>
                <w:bCs/>
                <w:sz w:val="24"/>
                <w:lang w:val="pt-BR"/>
              </w:rPr>
            </w:pPr>
            <w:r w:rsidRPr="00CA504F">
              <w:rPr>
                <w:b w:val="0"/>
                <w:bCs/>
                <w:sz w:val="24"/>
                <w:lang w:val="pt-BR"/>
              </w:rPr>
              <w:t>619.979</w:t>
            </w:r>
          </w:p>
        </w:tc>
        <w:tc>
          <w:tcPr>
            <w:tcW w:w="1460" w:type="dxa"/>
            <w:vAlign w:val="center"/>
          </w:tcPr>
          <w:p w14:paraId="22C8BE23" w14:textId="77777777" w:rsidR="000856FA" w:rsidRPr="00CA504F" w:rsidRDefault="000856FA" w:rsidP="000856FA">
            <w:pPr>
              <w:pStyle w:val="1"/>
              <w:spacing w:after="60"/>
              <w:rPr>
                <w:b w:val="0"/>
                <w:bCs/>
                <w:sz w:val="24"/>
                <w:lang w:val="pt-BR"/>
              </w:rPr>
            </w:pPr>
            <w:r w:rsidRPr="00CA504F">
              <w:rPr>
                <w:b w:val="0"/>
                <w:bCs/>
                <w:sz w:val="24"/>
                <w:lang w:val="pt-BR"/>
              </w:rPr>
              <w:t>638.879</w:t>
            </w:r>
          </w:p>
        </w:tc>
        <w:tc>
          <w:tcPr>
            <w:tcW w:w="1459" w:type="dxa"/>
            <w:vAlign w:val="center"/>
          </w:tcPr>
          <w:p w14:paraId="0A331664" w14:textId="77777777" w:rsidR="000856FA" w:rsidRPr="00CA504F" w:rsidRDefault="000856FA" w:rsidP="000856FA">
            <w:pPr>
              <w:pStyle w:val="1"/>
              <w:spacing w:after="60"/>
              <w:rPr>
                <w:b w:val="0"/>
                <w:bCs/>
                <w:sz w:val="24"/>
                <w:lang w:val="pt-BR"/>
              </w:rPr>
            </w:pPr>
            <w:r w:rsidRPr="00CA504F">
              <w:rPr>
                <w:b w:val="0"/>
                <w:bCs/>
                <w:sz w:val="24"/>
                <w:lang w:val="pt-BR"/>
              </w:rPr>
              <w:t>671.433</w:t>
            </w:r>
          </w:p>
        </w:tc>
      </w:tr>
      <w:tr w:rsidR="00CA504F" w:rsidRPr="00CA504F" w14:paraId="6BC8F3C3" w14:textId="77777777" w:rsidTr="00BC202A">
        <w:trPr>
          <w:trHeight w:val="503"/>
        </w:trPr>
        <w:tc>
          <w:tcPr>
            <w:tcW w:w="1985" w:type="dxa"/>
            <w:vAlign w:val="center"/>
          </w:tcPr>
          <w:p w14:paraId="337D4A49" w14:textId="77777777" w:rsidR="000856FA" w:rsidRPr="00CA504F" w:rsidRDefault="000856FA" w:rsidP="000856FA">
            <w:pPr>
              <w:pStyle w:val="1"/>
              <w:spacing w:after="60"/>
              <w:rPr>
                <w:b w:val="0"/>
                <w:bCs/>
                <w:sz w:val="24"/>
                <w:lang w:val="pt-BR"/>
              </w:rPr>
            </w:pPr>
            <w:r w:rsidRPr="00CA504F">
              <w:rPr>
                <w:b w:val="0"/>
                <w:bCs/>
                <w:sz w:val="24"/>
                <w:lang w:val="pt-BR"/>
              </w:rPr>
              <w:t>Tự nguyện</w:t>
            </w:r>
          </w:p>
        </w:tc>
        <w:tc>
          <w:tcPr>
            <w:tcW w:w="1470" w:type="dxa"/>
            <w:vAlign w:val="center"/>
          </w:tcPr>
          <w:p w14:paraId="68979E45" w14:textId="77777777" w:rsidR="000856FA" w:rsidRPr="00CA504F" w:rsidRDefault="000856FA" w:rsidP="000856FA">
            <w:pPr>
              <w:pStyle w:val="1"/>
              <w:spacing w:after="60"/>
              <w:rPr>
                <w:b w:val="0"/>
                <w:bCs/>
                <w:sz w:val="24"/>
                <w:lang w:val="pt-BR"/>
              </w:rPr>
            </w:pPr>
            <w:r w:rsidRPr="00CA504F">
              <w:rPr>
                <w:b w:val="0"/>
                <w:bCs/>
                <w:sz w:val="24"/>
                <w:lang w:val="pt-BR"/>
              </w:rPr>
              <w:t>5.249</w:t>
            </w:r>
          </w:p>
        </w:tc>
        <w:tc>
          <w:tcPr>
            <w:tcW w:w="1507" w:type="dxa"/>
            <w:vAlign w:val="center"/>
          </w:tcPr>
          <w:p w14:paraId="1B9FAF69" w14:textId="77777777" w:rsidR="000856FA" w:rsidRPr="00CA504F" w:rsidRDefault="000856FA" w:rsidP="000856FA">
            <w:pPr>
              <w:pStyle w:val="1"/>
              <w:spacing w:after="60"/>
              <w:rPr>
                <w:b w:val="0"/>
                <w:bCs/>
                <w:sz w:val="24"/>
                <w:lang w:val="pt-BR"/>
              </w:rPr>
            </w:pPr>
            <w:r w:rsidRPr="00CA504F">
              <w:rPr>
                <w:b w:val="0"/>
                <w:bCs/>
                <w:sz w:val="24"/>
                <w:lang w:val="pt-BR"/>
              </w:rPr>
              <w:t>5.770</w:t>
            </w:r>
          </w:p>
        </w:tc>
        <w:tc>
          <w:tcPr>
            <w:tcW w:w="1459" w:type="dxa"/>
            <w:vAlign w:val="center"/>
          </w:tcPr>
          <w:p w14:paraId="581909AA" w14:textId="77777777" w:rsidR="000856FA" w:rsidRPr="00CA504F" w:rsidRDefault="000856FA" w:rsidP="000856FA">
            <w:pPr>
              <w:pStyle w:val="1"/>
              <w:spacing w:after="60"/>
              <w:rPr>
                <w:b w:val="0"/>
                <w:bCs/>
                <w:sz w:val="24"/>
                <w:lang w:val="pt-BR"/>
              </w:rPr>
            </w:pPr>
            <w:r w:rsidRPr="00CA504F">
              <w:rPr>
                <w:b w:val="0"/>
                <w:bCs/>
                <w:sz w:val="24"/>
                <w:lang w:val="pt-BR"/>
              </w:rPr>
              <w:t>8.053</w:t>
            </w:r>
          </w:p>
        </w:tc>
        <w:tc>
          <w:tcPr>
            <w:tcW w:w="1460" w:type="dxa"/>
            <w:vAlign w:val="center"/>
          </w:tcPr>
          <w:p w14:paraId="53949347" w14:textId="77777777" w:rsidR="000856FA" w:rsidRPr="00CA504F" w:rsidRDefault="000856FA" w:rsidP="000856FA">
            <w:pPr>
              <w:pStyle w:val="1"/>
              <w:spacing w:after="60"/>
              <w:rPr>
                <w:b w:val="0"/>
                <w:bCs/>
                <w:sz w:val="24"/>
                <w:lang w:val="pt-BR"/>
              </w:rPr>
            </w:pPr>
            <w:r w:rsidRPr="00CA504F">
              <w:rPr>
                <w:b w:val="0"/>
                <w:bCs/>
                <w:sz w:val="24"/>
                <w:lang w:val="pt-BR"/>
              </w:rPr>
              <w:t>7.879</w:t>
            </w:r>
          </w:p>
        </w:tc>
        <w:tc>
          <w:tcPr>
            <w:tcW w:w="1459" w:type="dxa"/>
            <w:vAlign w:val="center"/>
          </w:tcPr>
          <w:p w14:paraId="05E2E071" w14:textId="77777777" w:rsidR="000856FA" w:rsidRPr="00CA504F" w:rsidRDefault="000856FA" w:rsidP="000856FA">
            <w:pPr>
              <w:pStyle w:val="1"/>
              <w:spacing w:after="60"/>
              <w:rPr>
                <w:b w:val="0"/>
                <w:bCs/>
                <w:sz w:val="24"/>
                <w:lang w:val="pt-BR"/>
              </w:rPr>
            </w:pPr>
            <w:r w:rsidRPr="00CA504F">
              <w:rPr>
                <w:b w:val="0"/>
                <w:bCs/>
                <w:sz w:val="24"/>
                <w:lang w:val="pt-BR"/>
              </w:rPr>
              <w:t>11.868</w:t>
            </w:r>
          </w:p>
        </w:tc>
      </w:tr>
    </w:tbl>
    <w:p w14:paraId="173C8032" w14:textId="77777777" w:rsidR="000856FA" w:rsidRPr="00CA504F" w:rsidRDefault="000856FA" w:rsidP="000856FA">
      <w:pPr>
        <w:pStyle w:val="1"/>
        <w:spacing w:after="60"/>
        <w:jc w:val="right"/>
        <w:rPr>
          <w:b w:val="0"/>
          <w:i/>
          <w:sz w:val="24"/>
          <w:szCs w:val="28"/>
        </w:rPr>
      </w:pPr>
      <w:r w:rsidRPr="00CA504F">
        <w:rPr>
          <w:b w:val="0"/>
          <w:i/>
          <w:sz w:val="24"/>
          <w:szCs w:val="28"/>
        </w:rPr>
        <w:t>(Nguồn: Hệ thống quản lý chính sách TCS)</w:t>
      </w:r>
    </w:p>
    <w:p w14:paraId="35C1E82E" w14:textId="77777777" w:rsidR="00AF3C86" w:rsidRDefault="00AF3C86" w:rsidP="00BC202A">
      <w:pPr>
        <w:pStyle w:val="1"/>
        <w:spacing w:after="120" w:line="276" w:lineRule="auto"/>
        <w:ind w:firstLine="709"/>
        <w:jc w:val="both"/>
        <w:rPr>
          <w:b w:val="0"/>
          <w:sz w:val="28"/>
          <w:szCs w:val="28"/>
        </w:rPr>
      </w:pPr>
    </w:p>
    <w:p w14:paraId="5AA1E829" w14:textId="3E06650F" w:rsidR="00B83BDC" w:rsidRPr="00CA504F" w:rsidRDefault="000856FA" w:rsidP="00BC202A">
      <w:pPr>
        <w:pStyle w:val="1"/>
        <w:spacing w:after="120" w:line="276" w:lineRule="auto"/>
        <w:ind w:firstLine="709"/>
        <w:jc w:val="both"/>
        <w:rPr>
          <w:b w:val="0"/>
          <w:sz w:val="28"/>
          <w:szCs w:val="28"/>
        </w:rPr>
      </w:pPr>
      <w:r w:rsidRPr="00CA504F">
        <w:rPr>
          <w:b w:val="0"/>
          <w:sz w:val="28"/>
          <w:szCs w:val="28"/>
        </w:rPr>
        <w:lastRenderedPageBreak/>
        <w:t xml:space="preserve">Với số liệu trên cho thấy, số lượng </w:t>
      </w:r>
      <w:r w:rsidR="00912296" w:rsidRPr="00CA504F">
        <w:rPr>
          <w:b w:val="0"/>
          <w:bCs/>
          <w:sz w:val="28"/>
          <w:szCs w:val="28"/>
        </w:rPr>
        <w:t>ng</w:t>
      </w:r>
      <w:r w:rsidR="00CA504F" w:rsidRPr="00CA504F">
        <w:rPr>
          <w:b w:val="0"/>
          <w:bCs/>
          <w:sz w:val="28"/>
          <w:szCs w:val="28"/>
        </w:rPr>
        <w:t>ười</w:t>
      </w:r>
      <w:r w:rsidR="00912296" w:rsidRPr="00CA504F">
        <w:rPr>
          <w:b w:val="0"/>
          <w:bCs/>
          <w:sz w:val="28"/>
          <w:szCs w:val="28"/>
        </w:rPr>
        <w:t xml:space="preserve"> lao động</w:t>
      </w:r>
      <w:r w:rsidRPr="00CA504F">
        <w:rPr>
          <w:b w:val="0"/>
          <w:sz w:val="28"/>
          <w:szCs w:val="28"/>
        </w:rPr>
        <w:t xml:space="preserve"> hưởng BHXH một lần trong giai đoạn </w:t>
      </w:r>
      <w:r w:rsidR="00A30F6D" w:rsidRPr="00CA504F">
        <w:rPr>
          <w:b w:val="0"/>
          <w:sz w:val="28"/>
          <w:szCs w:val="28"/>
        </w:rPr>
        <w:t>2016-2022</w:t>
      </w:r>
      <w:r w:rsidRPr="00CA504F">
        <w:rPr>
          <w:b w:val="0"/>
          <w:sz w:val="28"/>
          <w:szCs w:val="28"/>
        </w:rPr>
        <w:t xml:space="preserve"> tập trung chủ yếu ở đối tượng đóng BHXH do người sử dụng lao động quyết định (ngoài Nhà nước) với tổng số 2.899.200 người, chiếm 90,74% tổng số người hưởng BHXH một lần, sau đó là đối tượng đóng BHXH theo chế độ tiền lương do Nhà nước quy định với tổng số 257.002 người, chiếm 8,04% tổng số người hưởng BHXH một lần và thấp nhất là đối tượng tự nguyện với 38.856 người, chiếm 1,22% tổng số người hưởng BHXH một lần. </w:t>
      </w:r>
      <w:r w:rsidR="00AF3C86">
        <w:rPr>
          <w:b w:val="0"/>
          <w:sz w:val="28"/>
          <w:szCs w:val="28"/>
        </w:rPr>
        <w:t>D</w:t>
      </w:r>
      <w:r w:rsidRPr="00CA504F">
        <w:rPr>
          <w:b w:val="0"/>
          <w:sz w:val="28"/>
          <w:szCs w:val="28"/>
        </w:rPr>
        <w:t>o tính chất công việc</w:t>
      </w:r>
      <w:r w:rsidR="00545387">
        <w:rPr>
          <w:b w:val="0"/>
          <w:sz w:val="28"/>
          <w:szCs w:val="28"/>
        </w:rPr>
        <w:t xml:space="preserve"> khu vực d</w:t>
      </w:r>
      <w:r w:rsidRPr="00CA504F">
        <w:rPr>
          <w:b w:val="0"/>
          <w:sz w:val="28"/>
          <w:szCs w:val="28"/>
        </w:rPr>
        <w:t xml:space="preserve">oanh nghiệp tư nhân và </w:t>
      </w:r>
      <w:r w:rsidR="00545387">
        <w:rPr>
          <w:b w:val="0"/>
          <w:sz w:val="28"/>
          <w:szCs w:val="28"/>
        </w:rPr>
        <w:t>d</w:t>
      </w:r>
      <w:r w:rsidRPr="00CA504F">
        <w:rPr>
          <w:b w:val="0"/>
          <w:sz w:val="28"/>
          <w:szCs w:val="28"/>
        </w:rPr>
        <w:t>oanh nghiệp có vốn đầu tư nước ngoài thường</w:t>
      </w:r>
      <w:r w:rsidR="00545387">
        <w:rPr>
          <w:b w:val="0"/>
          <w:sz w:val="28"/>
          <w:szCs w:val="28"/>
        </w:rPr>
        <w:t xml:space="preserve"> không ổn định,</w:t>
      </w:r>
      <w:r w:rsidRPr="00CA504F">
        <w:rPr>
          <w:b w:val="0"/>
          <w:sz w:val="28"/>
          <w:szCs w:val="28"/>
        </w:rPr>
        <w:t xml:space="preserve"> chịu áp lực về công việc, </w:t>
      </w:r>
      <w:r w:rsidR="00912296" w:rsidRPr="00CA504F">
        <w:rPr>
          <w:b w:val="0"/>
          <w:bCs/>
          <w:sz w:val="28"/>
          <w:szCs w:val="28"/>
        </w:rPr>
        <w:t>người lao động</w:t>
      </w:r>
      <w:r w:rsidRPr="00CA504F">
        <w:rPr>
          <w:b w:val="0"/>
          <w:bCs/>
          <w:sz w:val="28"/>
          <w:szCs w:val="28"/>
        </w:rPr>
        <w:t xml:space="preserve"> </w:t>
      </w:r>
      <w:r w:rsidRPr="00CA504F">
        <w:rPr>
          <w:b w:val="0"/>
          <w:sz w:val="28"/>
          <w:szCs w:val="28"/>
        </w:rPr>
        <w:t>có tâm lý “nhảy việc”</w:t>
      </w:r>
      <w:r w:rsidR="00AF3C86">
        <w:rPr>
          <w:rStyle w:val="FootnoteReference"/>
          <w:b w:val="0"/>
          <w:sz w:val="28"/>
          <w:szCs w:val="28"/>
        </w:rPr>
        <w:footnoteReference w:id="1"/>
      </w:r>
      <w:r w:rsidRPr="00CA504F">
        <w:rPr>
          <w:b w:val="0"/>
          <w:sz w:val="28"/>
          <w:szCs w:val="28"/>
        </w:rPr>
        <w:t xml:space="preserve"> nên khi nghỉ việc, trong thời gian tìm kiếm việc làm mới phù hợp hơn thì muốn hưởng BHXH một lần.</w:t>
      </w:r>
      <w:r w:rsidR="00B05650" w:rsidRPr="00CA504F">
        <w:rPr>
          <w:b w:val="0"/>
          <w:sz w:val="28"/>
          <w:szCs w:val="28"/>
        </w:rPr>
        <w:t xml:space="preserve"> </w:t>
      </w:r>
    </w:p>
    <w:p w14:paraId="10E6DA0B" w14:textId="0DA0CC3F" w:rsidR="00B83BDC" w:rsidRPr="00CA504F" w:rsidRDefault="00B83BDC" w:rsidP="0036194B">
      <w:pPr>
        <w:pStyle w:val="1"/>
        <w:spacing w:after="120" w:line="276" w:lineRule="auto"/>
        <w:ind w:firstLine="709"/>
        <w:jc w:val="both"/>
        <w:rPr>
          <w:b w:val="0"/>
          <w:sz w:val="28"/>
          <w:szCs w:val="28"/>
        </w:rPr>
      </w:pPr>
      <w:r w:rsidRPr="00CA504F">
        <w:rPr>
          <w:b w:val="0"/>
          <w:sz w:val="28"/>
          <w:szCs w:val="28"/>
        </w:rPr>
        <w:t xml:space="preserve">- </w:t>
      </w:r>
      <w:r w:rsidR="006076E8" w:rsidRPr="00CA504F">
        <w:rPr>
          <w:b w:val="0"/>
          <w:sz w:val="28"/>
          <w:szCs w:val="28"/>
        </w:rPr>
        <w:t>Xét theo địa lý thì khu vực Đông Nam Bộ và Đồng Bằng Sông Cửu Long có số lượng người giải quyết hưởng BHXH một lần đông nhất cả nước. Tại 02 khu vực này chiếm gần 60% tổng số người hưởng BHXH một lần</w:t>
      </w:r>
      <w:r w:rsidR="0036194B" w:rsidRPr="00CA504F">
        <w:rPr>
          <w:b w:val="0"/>
          <w:sz w:val="28"/>
          <w:szCs w:val="28"/>
        </w:rPr>
        <w:t>. Đây là những khu vực tập trung nhiều lao động phổ thông, tuổi đời trẻ làm việc tại các khu công nghiệp nên tần suất thay đổi công việc nhanh dẫn đến hưởng BHXH cao so với các khu vực khác trên cả nước.</w:t>
      </w:r>
    </w:p>
    <w:p w14:paraId="24A2D05D" w14:textId="3295FDCF" w:rsidR="0036194B" w:rsidRPr="00CA504F" w:rsidRDefault="0036194B" w:rsidP="0036194B">
      <w:pPr>
        <w:pStyle w:val="1"/>
        <w:spacing w:after="120" w:line="276" w:lineRule="auto"/>
        <w:ind w:firstLine="709"/>
        <w:rPr>
          <w:bCs/>
          <w:sz w:val="24"/>
          <w:szCs w:val="24"/>
        </w:rPr>
      </w:pPr>
      <w:r w:rsidRPr="00CA504F">
        <w:rPr>
          <w:bCs/>
          <w:sz w:val="24"/>
          <w:szCs w:val="24"/>
        </w:rPr>
        <w:t>Bảng 5: Số người hưởng BHXH theo khu vực địa lý</w:t>
      </w:r>
    </w:p>
    <w:tbl>
      <w:tblPr>
        <w:tblW w:w="9355" w:type="dxa"/>
        <w:tblInd w:w="-5" w:type="dxa"/>
        <w:tblLook w:val="04A0" w:firstRow="1" w:lastRow="0" w:firstColumn="1" w:lastColumn="0" w:noHBand="0" w:noVBand="1"/>
      </w:tblPr>
      <w:tblGrid>
        <w:gridCol w:w="2890"/>
        <w:gridCol w:w="1039"/>
        <w:gridCol w:w="1023"/>
        <w:gridCol w:w="1121"/>
        <w:gridCol w:w="1056"/>
        <w:gridCol w:w="1105"/>
        <w:gridCol w:w="1121"/>
      </w:tblGrid>
      <w:tr w:rsidR="00CA504F" w:rsidRPr="00CA504F" w14:paraId="64C36618" w14:textId="77777777" w:rsidTr="00B83BDC">
        <w:trPr>
          <w:trHeight w:val="558"/>
        </w:trPr>
        <w:tc>
          <w:tcPr>
            <w:tcW w:w="2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DCD4E" w14:textId="77777777" w:rsidR="00B83BDC" w:rsidRPr="00B83BDC" w:rsidRDefault="00B83BDC" w:rsidP="00B83BDC">
            <w:pPr>
              <w:spacing w:after="0" w:line="240" w:lineRule="auto"/>
              <w:jc w:val="center"/>
              <w:rPr>
                <w:rFonts w:ascii="Times New Roman" w:eastAsia="Times New Roman" w:hAnsi="Times New Roman"/>
                <w:b/>
                <w:bCs/>
                <w:sz w:val="24"/>
                <w:szCs w:val="24"/>
              </w:rPr>
            </w:pPr>
            <w:r w:rsidRPr="00B83BDC">
              <w:rPr>
                <w:rFonts w:ascii="Times New Roman" w:eastAsia="Times New Roman" w:hAnsi="Times New Roman"/>
                <w:b/>
                <w:bCs/>
                <w:sz w:val="24"/>
                <w:szCs w:val="24"/>
              </w:rPr>
              <w:t>Năm</w:t>
            </w:r>
          </w:p>
        </w:tc>
        <w:tc>
          <w:tcPr>
            <w:tcW w:w="1039" w:type="dxa"/>
            <w:tcBorders>
              <w:top w:val="single" w:sz="4" w:space="0" w:color="auto"/>
              <w:left w:val="nil"/>
              <w:bottom w:val="single" w:sz="4" w:space="0" w:color="auto"/>
              <w:right w:val="single" w:sz="4" w:space="0" w:color="auto"/>
            </w:tcBorders>
            <w:shd w:val="clear" w:color="auto" w:fill="auto"/>
            <w:noWrap/>
            <w:vAlign w:val="center"/>
            <w:hideMark/>
          </w:tcPr>
          <w:p w14:paraId="6A5A026C" w14:textId="77777777" w:rsidR="00B83BDC" w:rsidRPr="00B83BDC" w:rsidRDefault="00B83BDC" w:rsidP="00B83BDC">
            <w:pPr>
              <w:spacing w:after="0" w:line="240" w:lineRule="auto"/>
              <w:jc w:val="center"/>
              <w:rPr>
                <w:rFonts w:ascii="Times New Roman" w:eastAsia="Times New Roman" w:hAnsi="Times New Roman"/>
                <w:b/>
                <w:bCs/>
                <w:sz w:val="24"/>
                <w:szCs w:val="24"/>
              </w:rPr>
            </w:pPr>
            <w:r w:rsidRPr="00B83BDC">
              <w:rPr>
                <w:rFonts w:ascii="Times New Roman" w:eastAsia="Times New Roman" w:hAnsi="Times New Roman"/>
                <w:b/>
                <w:bCs/>
                <w:sz w:val="24"/>
                <w:szCs w:val="24"/>
              </w:rPr>
              <w:t>2016</w:t>
            </w: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14:paraId="1A1BE851" w14:textId="77777777" w:rsidR="00B83BDC" w:rsidRPr="00B83BDC" w:rsidRDefault="00B83BDC" w:rsidP="00B83BDC">
            <w:pPr>
              <w:spacing w:after="0" w:line="240" w:lineRule="auto"/>
              <w:jc w:val="center"/>
              <w:rPr>
                <w:rFonts w:ascii="Times New Roman" w:eastAsia="Times New Roman" w:hAnsi="Times New Roman"/>
                <w:b/>
                <w:bCs/>
                <w:sz w:val="24"/>
                <w:szCs w:val="24"/>
              </w:rPr>
            </w:pPr>
            <w:r w:rsidRPr="00B83BDC">
              <w:rPr>
                <w:rFonts w:ascii="Times New Roman" w:eastAsia="Times New Roman" w:hAnsi="Times New Roman"/>
                <w:b/>
                <w:bCs/>
                <w:sz w:val="24"/>
                <w:szCs w:val="24"/>
              </w:rPr>
              <w:t>2017</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3BAC214D" w14:textId="77777777" w:rsidR="00B83BDC" w:rsidRPr="00B83BDC" w:rsidRDefault="00B83BDC" w:rsidP="00B83BDC">
            <w:pPr>
              <w:spacing w:after="0" w:line="240" w:lineRule="auto"/>
              <w:jc w:val="center"/>
              <w:rPr>
                <w:rFonts w:ascii="Times New Roman" w:eastAsia="Times New Roman" w:hAnsi="Times New Roman"/>
                <w:b/>
                <w:bCs/>
                <w:sz w:val="24"/>
                <w:szCs w:val="24"/>
              </w:rPr>
            </w:pPr>
            <w:r w:rsidRPr="00B83BDC">
              <w:rPr>
                <w:rFonts w:ascii="Times New Roman" w:eastAsia="Times New Roman" w:hAnsi="Times New Roman"/>
                <w:b/>
                <w:bCs/>
                <w:sz w:val="24"/>
                <w:szCs w:val="24"/>
              </w:rPr>
              <w:t>2018</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55865173" w14:textId="77777777" w:rsidR="00B83BDC" w:rsidRPr="00B83BDC" w:rsidRDefault="00B83BDC" w:rsidP="00B83BDC">
            <w:pPr>
              <w:spacing w:after="0" w:line="240" w:lineRule="auto"/>
              <w:jc w:val="center"/>
              <w:rPr>
                <w:rFonts w:ascii="Times New Roman" w:eastAsia="Times New Roman" w:hAnsi="Times New Roman"/>
                <w:b/>
                <w:bCs/>
                <w:sz w:val="24"/>
                <w:szCs w:val="24"/>
              </w:rPr>
            </w:pPr>
            <w:r w:rsidRPr="00B83BDC">
              <w:rPr>
                <w:rFonts w:ascii="Times New Roman" w:eastAsia="Times New Roman" w:hAnsi="Times New Roman"/>
                <w:b/>
                <w:bCs/>
                <w:sz w:val="24"/>
                <w:szCs w:val="24"/>
              </w:rPr>
              <w:t>2019</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CEF97C0" w14:textId="77777777" w:rsidR="00B83BDC" w:rsidRPr="00B83BDC" w:rsidRDefault="00B83BDC" w:rsidP="00B83BDC">
            <w:pPr>
              <w:spacing w:after="0" w:line="240" w:lineRule="auto"/>
              <w:jc w:val="center"/>
              <w:rPr>
                <w:rFonts w:ascii="Times New Roman" w:eastAsia="Times New Roman" w:hAnsi="Times New Roman"/>
                <w:b/>
                <w:bCs/>
                <w:sz w:val="24"/>
                <w:szCs w:val="24"/>
              </w:rPr>
            </w:pPr>
            <w:r w:rsidRPr="00B83BDC">
              <w:rPr>
                <w:rFonts w:ascii="Times New Roman" w:eastAsia="Times New Roman" w:hAnsi="Times New Roman"/>
                <w:b/>
                <w:bCs/>
                <w:sz w:val="24"/>
                <w:szCs w:val="24"/>
              </w:rPr>
              <w:t>2020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14:paraId="2E9D549A" w14:textId="77777777" w:rsidR="00B83BDC" w:rsidRPr="00B83BDC" w:rsidRDefault="00B83BDC" w:rsidP="00B83BDC">
            <w:pPr>
              <w:spacing w:after="0" w:line="240" w:lineRule="auto"/>
              <w:jc w:val="center"/>
              <w:rPr>
                <w:rFonts w:ascii="Times New Roman" w:eastAsia="Times New Roman" w:hAnsi="Times New Roman"/>
                <w:b/>
                <w:bCs/>
                <w:sz w:val="24"/>
                <w:szCs w:val="24"/>
              </w:rPr>
            </w:pPr>
            <w:r w:rsidRPr="00B83BDC">
              <w:rPr>
                <w:rFonts w:ascii="Times New Roman" w:eastAsia="Times New Roman" w:hAnsi="Times New Roman"/>
                <w:b/>
                <w:bCs/>
                <w:sz w:val="24"/>
                <w:szCs w:val="24"/>
              </w:rPr>
              <w:t>2021</w:t>
            </w:r>
          </w:p>
        </w:tc>
      </w:tr>
      <w:tr w:rsidR="00CA504F" w:rsidRPr="00CA504F" w14:paraId="1ECB9707" w14:textId="77777777" w:rsidTr="00B83BDC">
        <w:trPr>
          <w:trHeight w:val="623"/>
        </w:trPr>
        <w:tc>
          <w:tcPr>
            <w:tcW w:w="2890" w:type="dxa"/>
            <w:tcBorders>
              <w:top w:val="nil"/>
              <w:left w:val="single" w:sz="4" w:space="0" w:color="auto"/>
              <w:bottom w:val="single" w:sz="4" w:space="0" w:color="auto"/>
              <w:right w:val="single" w:sz="4" w:space="0" w:color="auto"/>
            </w:tcBorders>
            <w:shd w:val="clear" w:color="auto" w:fill="auto"/>
            <w:vAlign w:val="center"/>
            <w:hideMark/>
          </w:tcPr>
          <w:p w14:paraId="373091DE" w14:textId="77777777" w:rsidR="00B83BDC" w:rsidRPr="00B83BDC" w:rsidRDefault="00B83BDC" w:rsidP="00B83BDC">
            <w:pPr>
              <w:spacing w:after="0" w:line="240" w:lineRule="auto"/>
              <w:rPr>
                <w:rFonts w:ascii="Times New Roman" w:eastAsia="Times New Roman" w:hAnsi="Times New Roman"/>
                <w:b/>
                <w:bCs/>
                <w:sz w:val="24"/>
                <w:szCs w:val="24"/>
              </w:rPr>
            </w:pPr>
            <w:r w:rsidRPr="00B83BDC">
              <w:rPr>
                <w:rFonts w:ascii="Times New Roman" w:eastAsia="Times New Roman" w:hAnsi="Times New Roman"/>
                <w:b/>
                <w:bCs/>
                <w:sz w:val="24"/>
                <w:szCs w:val="24"/>
              </w:rPr>
              <w:t>Tổng số người giải quyết hưởng</w:t>
            </w:r>
          </w:p>
        </w:tc>
        <w:tc>
          <w:tcPr>
            <w:tcW w:w="1039" w:type="dxa"/>
            <w:tcBorders>
              <w:top w:val="nil"/>
              <w:left w:val="nil"/>
              <w:bottom w:val="single" w:sz="4" w:space="0" w:color="auto"/>
              <w:right w:val="single" w:sz="4" w:space="0" w:color="auto"/>
            </w:tcBorders>
            <w:shd w:val="clear" w:color="auto" w:fill="auto"/>
            <w:noWrap/>
            <w:vAlign w:val="center"/>
            <w:hideMark/>
          </w:tcPr>
          <w:p w14:paraId="5D58C1BF"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500.174</w:t>
            </w:r>
          </w:p>
        </w:tc>
        <w:tc>
          <w:tcPr>
            <w:tcW w:w="1023" w:type="dxa"/>
            <w:tcBorders>
              <w:top w:val="nil"/>
              <w:left w:val="nil"/>
              <w:bottom w:val="single" w:sz="4" w:space="0" w:color="auto"/>
              <w:right w:val="single" w:sz="4" w:space="0" w:color="auto"/>
            </w:tcBorders>
            <w:shd w:val="clear" w:color="auto" w:fill="auto"/>
            <w:noWrap/>
            <w:vAlign w:val="center"/>
            <w:hideMark/>
          </w:tcPr>
          <w:p w14:paraId="310D9CE5"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560.137</w:t>
            </w:r>
          </w:p>
        </w:tc>
        <w:tc>
          <w:tcPr>
            <w:tcW w:w="1121" w:type="dxa"/>
            <w:tcBorders>
              <w:top w:val="nil"/>
              <w:left w:val="nil"/>
              <w:bottom w:val="single" w:sz="4" w:space="0" w:color="auto"/>
              <w:right w:val="single" w:sz="4" w:space="0" w:color="auto"/>
            </w:tcBorders>
            <w:shd w:val="clear" w:color="auto" w:fill="auto"/>
            <w:noWrap/>
            <w:vAlign w:val="center"/>
            <w:hideMark/>
          </w:tcPr>
          <w:p w14:paraId="7248D53B"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666.476</w:t>
            </w:r>
          </w:p>
        </w:tc>
        <w:tc>
          <w:tcPr>
            <w:tcW w:w="1056" w:type="dxa"/>
            <w:tcBorders>
              <w:top w:val="nil"/>
              <w:left w:val="nil"/>
              <w:bottom w:val="single" w:sz="4" w:space="0" w:color="auto"/>
              <w:right w:val="single" w:sz="4" w:space="0" w:color="auto"/>
            </w:tcBorders>
            <w:shd w:val="clear" w:color="auto" w:fill="auto"/>
            <w:noWrap/>
            <w:vAlign w:val="center"/>
            <w:hideMark/>
          </w:tcPr>
          <w:p w14:paraId="6F2922AE"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707.183</w:t>
            </w:r>
          </w:p>
        </w:tc>
        <w:tc>
          <w:tcPr>
            <w:tcW w:w="1105" w:type="dxa"/>
            <w:tcBorders>
              <w:top w:val="nil"/>
              <w:left w:val="nil"/>
              <w:bottom w:val="single" w:sz="4" w:space="0" w:color="auto"/>
              <w:right w:val="single" w:sz="4" w:space="0" w:color="auto"/>
            </w:tcBorders>
            <w:shd w:val="clear" w:color="auto" w:fill="auto"/>
            <w:noWrap/>
            <w:vAlign w:val="center"/>
            <w:hideMark/>
          </w:tcPr>
          <w:p w14:paraId="18245CEF"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761.080</w:t>
            </w:r>
          </w:p>
        </w:tc>
        <w:tc>
          <w:tcPr>
            <w:tcW w:w="1121" w:type="dxa"/>
            <w:tcBorders>
              <w:top w:val="nil"/>
              <w:left w:val="nil"/>
              <w:bottom w:val="single" w:sz="4" w:space="0" w:color="auto"/>
              <w:right w:val="single" w:sz="4" w:space="0" w:color="auto"/>
            </w:tcBorders>
            <w:shd w:val="clear" w:color="auto" w:fill="auto"/>
            <w:noWrap/>
            <w:vAlign w:val="center"/>
            <w:hideMark/>
          </w:tcPr>
          <w:p w14:paraId="460DE9B5"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863.446</w:t>
            </w:r>
          </w:p>
        </w:tc>
      </w:tr>
      <w:tr w:rsidR="00CA504F" w:rsidRPr="00CA504F" w14:paraId="76618253" w14:textId="77777777" w:rsidTr="00B83BDC">
        <w:trPr>
          <w:trHeight w:val="631"/>
        </w:trPr>
        <w:tc>
          <w:tcPr>
            <w:tcW w:w="2890" w:type="dxa"/>
            <w:tcBorders>
              <w:top w:val="nil"/>
              <w:left w:val="single" w:sz="4" w:space="0" w:color="auto"/>
              <w:bottom w:val="single" w:sz="4" w:space="0" w:color="auto"/>
              <w:right w:val="single" w:sz="4" w:space="0" w:color="auto"/>
            </w:tcBorders>
            <w:shd w:val="clear" w:color="auto" w:fill="auto"/>
            <w:vAlign w:val="center"/>
            <w:hideMark/>
          </w:tcPr>
          <w:p w14:paraId="036DABF5" w14:textId="77777777" w:rsidR="00B83BDC" w:rsidRPr="00B83BDC" w:rsidRDefault="00B83BDC" w:rsidP="00B83BDC">
            <w:pPr>
              <w:spacing w:after="0" w:line="240" w:lineRule="auto"/>
              <w:rPr>
                <w:rFonts w:ascii="Times New Roman" w:eastAsia="Times New Roman" w:hAnsi="Times New Roman"/>
                <w:sz w:val="24"/>
                <w:szCs w:val="24"/>
              </w:rPr>
            </w:pPr>
            <w:r w:rsidRPr="00B83BDC">
              <w:rPr>
                <w:rFonts w:ascii="Times New Roman" w:eastAsia="Times New Roman" w:hAnsi="Times New Roman"/>
                <w:sz w:val="24"/>
                <w:szCs w:val="24"/>
              </w:rPr>
              <w:t xml:space="preserve">Trung du và MN phía Bắc </w:t>
            </w:r>
          </w:p>
        </w:tc>
        <w:tc>
          <w:tcPr>
            <w:tcW w:w="1039" w:type="dxa"/>
            <w:tcBorders>
              <w:top w:val="nil"/>
              <w:left w:val="nil"/>
              <w:bottom w:val="single" w:sz="4" w:space="0" w:color="auto"/>
              <w:right w:val="single" w:sz="4" w:space="0" w:color="auto"/>
            </w:tcBorders>
            <w:shd w:val="clear" w:color="auto" w:fill="auto"/>
            <w:noWrap/>
            <w:vAlign w:val="center"/>
            <w:hideMark/>
          </w:tcPr>
          <w:p w14:paraId="216A8343"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37.343</w:t>
            </w:r>
          </w:p>
        </w:tc>
        <w:tc>
          <w:tcPr>
            <w:tcW w:w="1023" w:type="dxa"/>
            <w:tcBorders>
              <w:top w:val="nil"/>
              <w:left w:val="nil"/>
              <w:bottom w:val="single" w:sz="4" w:space="0" w:color="auto"/>
              <w:right w:val="single" w:sz="4" w:space="0" w:color="auto"/>
            </w:tcBorders>
            <w:shd w:val="clear" w:color="auto" w:fill="auto"/>
            <w:noWrap/>
            <w:vAlign w:val="center"/>
            <w:hideMark/>
          </w:tcPr>
          <w:p w14:paraId="0E3A7018"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42.929</w:t>
            </w:r>
          </w:p>
        </w:tc>
        <w:tc>
          <w:tcPr>
            <w:tcW w:w="1121" w:type="dxa"/>
            <w:tcBorders>
              <w:top w:val="nil"/>
              <w:left w:val="nil"/>
              <w:bottom w:val="single" w:sz="4" w:space="0" w:color="auto"/>
              <w:right w:val="single" w:sz="4" w:space="0" w:color="auto"/>
            </w:tcBorders>
            <w:shd w:val="clear" w:color="auto" w:fill="auto"/>
            <w:noWrap/>
            <w:vAlign w:val="center"/>
            <w:hideMark/>
          </w:tcPr>
          <w:p w14:paraId="72EAF885"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47.517</w:t>
            </w:r>
          </w:p>
        </w:tc>
        <w:tc>
          <w:tcPr>
            <w:tcW w:w="1056" w:type="dxa"/>
            <w:tcBorders>
              <w:top w:val="nil"/>
              <w:left w:val="nil"/>
              <w:bottom w:val="single" w:sz="4" w:space="0" w:color="auto"/>
              <w:right w:val="single" w:sz="4" w:space="0" w:color="auto"/>
            </w:tcBorders>
            <w:shd w:val="clear" w:color="auto" w:fill="auto"/>
            <w:noWrap/>
            <w:vAlign w:val="center"/>
            <w:hideMark/>
          </w:tcPr>
          <w:p w14:paraId="3B4D022C"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53.429</w:t>
            </w:r>
          </w:p>
        </w:tc>
        <w:tc>
          <w:tcPr>
            <w:tcW w:w="1105" w:type="dxa"/>
            <w:tcBorders>
              <w:top w:val="nil"/>
              <w:left w:val="nil"/>
              <w:bottom w:val="single" w:sz="4" w:space="0" w:color="auto"/>
              <w:right w:val="single" w:sz="4" w:space="0" w:color="auto"/>
            </w:tcBorders>
            <w:shd w:val="clear" w:color="auto" w:fill="auto"/>
            <w:noWrap/>
            <w:vAlign w:val="center"/>
            <w:hideMark/>
          </w:tcPr>
          <w:p w14:paraId="14593591"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56.513</w:t>
            </w:r>
          </w:p>
        </w:tc>
        <w:tc>
          <w:tcPr>
            <w:tcW w:w="1121" w:type="dxa"/>
            <w:tcBorders>
              <w:top w:val="nil"/>
              <w:left w:val="nil"/>
              <w:bottom w:val="single" w:sz="4" w:space="0" w:color="auto"/>
              <w:right w:val="single" w:sz="4" w:space="0" w:color="auto"/>
            </w:tcBorders>
            <w:shd w:val="clear" w:color="auto" w:fill="auto"/>
            <w:noWrap/>
            <w:vAlign w:val="center"/>
            <w:hideMark/>
          </w:tcPr>
          <w:p w14:paraId="3D68BE83"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63.786</w:t>
            </w:r>
          </w:p>
        </w:tc>
      </w:tr>
      <w:tr w:rsidR="00CA504F" w:rsidRPr="00CA504F" w14:paraId="1254407D" w14:textId="77777777" w:rsidTr="00B83BDC">
        <w:trPr>
          <w:trHeight w:val="592"/>
        </w:trPr>
        <w:tc>
          <w:tcPr>
            <w:tcW w:w="2890" w:type="dxa"/>
            <w:tcBorders>
              <w:top w:val="nil"/>
              <w:left w:val="single" w:sz="4" w:space="0" w:color="auto"/>
              <w:bottom w:val="single" w:sz="4" w:space="0" w:color="auto"/>
              <w:right w:val="single" w:sz="4" w:space="0" w:color="auto"/>
            </w:tcBorders>
            <w:shd w:val="clear" w:color="auto" w:fill="auto"/>
            <w:vAlign w:val="center"/>
            <w:hideMark/>
          </w:tcPr>
          <w:p w14:paraId="15D1A915" w14:textId="77777777" w:rsidR="00B83BDC" w:rsidRPr="00B83BDC" w:rsidRDefault="00B83BDC" w:rsidP="00B83BDC">
            <w:pPr>
              <w:spacing w:after="0" w:line="240" w:lineRule="auto"/>
              <w:rPr>
                <w:rFonts w:ascii="Times New Roman" w:eastAsia="Times New Roman" w:hAnsi="Times New Roman"/>
                <w:sz w:val="24"/>
                <w:szCs w:val="24"/>
              </w:rPr>
            </w:pPr>
            <w:r w:rsidRPr="00B83BDC">
              <w:rPr>
                <w:rFonts w:ascii="Times New Roman" w:eastAsia="Times New Roman" w:hAnsi="Times New Roman"/>
                <w:sz w:val="24"/>
                <w:szCs w:val="24"/>
              </w:rPr>
              <w:t>Đồng Bằng Sông Hồng</w:t>
            </w:r>
          </w:p>
        </w:tc>
        <w:tc>
          <w:tcPr>
            <w:tcW w:w="1039" w:type="dxa"/>
            <w:tcBorders>
              <w:top w:val="nil"/>
              <w:left w:val="nil"/>
              <w:bottom w:val="single" w:sz="4" w:space="0" w:color="auto"/>
              <w:right w:val="single" w:sz="4" w:space="0" w:color="auto"/>
            </w:tcBorders>
            <w:shd w:val="clear" w:color="auto" w:fill="auto"/>
            <w:noWrap/>
            <w:vAlign w:val="center"/>
            <w:hideMark/>
          </w:tcPr>
          <w:p w14:paraId="27505915"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71.615</w:t>
            </w:r>
          </w:p>
        </w:tc>
        <w:tc>
          <w:tcPr>
            <w:tcW w:w="1023" w:type="dxa"/>
            <w:tcBorders>
              <w:top w:val="nil"/>
              <w:left w:val="nil"/>
              <w:bottom w:val="single" w:sz="4" w:space="0" w:color="auto"/>
              <w:right w:val="single" w:sz="4" w:space="0" w:color="auto"/>
            </w:tcBorders>
            <w:shd w:val="clear" w:color="auto" w:fill="auto"/>
            <w:noWrap/>
            <w:vAlign w:val="center"/>
            <w:hideMark/>
          </w:tcPr>
          <w:p w14:paraId="507634EC"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79.832</w:t>
            </w:r>
          </w:p>
        </w:tc>
        <w:tc>
          <w:tcPr>
            <w:tcW w:w="1121" w:type="dxa"/>
            <w:tcBorders>
              <w:top w:val="nil"/>
              <w:left w:val="nil"/>
              <w:bottom w:val="single" w:sz="4" w:space="0" w:color="auto"/>
              <w:right w:val="single" w:sz="4" w:space="0" w:color="auto"/>
            </w:tcBorders>
            <w:shd w:val="clear" w:color="auto" w:fill="auto"/>
            <w:noWrap/>
            <w:vAlign w:val="center"/>
            <w:hideMark/>
          </w:tcPr>
          <w:p w14:paraId="61D927B6"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93.338</w:t>
            </w:r>
          </w:p>
        </w:tc>
        <w:tc>
          <w:tcPr>
            <w:tcW w:w="1056" w:type="dxa"/>
            <w:tcBorders>
              <w:top w:val="nil"/>
              <w:left w:val="nil"/>
              <w:bottom w:val="single" w:sz="4" w:space="0" w:color="auto"/>
              <w:right w:val="single" w:sz="4" w:space="0" w:color="auto"/>
            </w:tcBorders>
            <w:shd w:val="clear" w:color="auto" w:fill="auto"/>
            <w:noWrap/>
            <w:vAlign w:val="center"/>
            <w:hideMark/>
          </w:tcPr>
          <w:p w14:paraId="62D5531F"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97.218</w:t>
            </w:r>
          </w:p>
        </w:tc>
        <w:tc>
          <w:tcPr>
            <w:tcW w:w="1105" w:type="dxa"/>
            <w:tcBorders>
              <w:top w:val="nil"/>
              <w:left w:val="nil"/>
              <w:bottom w:val="single" w:sz="4" w:space="0" w:color="auto"/>
              <w:right w:val="single" w:sz="4" w:space="0" w:color="auto"/>
            </w:tcBorders>
            <w:shd w:val="clear" w:color="auto" w:fill="auto"/>
            <w:noWrap/>
            <w:vAlign w:val="center"/>
            <w:hideMark/>
          </w:tcPr>
          <w:p w14:paraId="2CE2BC95"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102.517</w:t>
            </w:r>
          </w:p>
        </w:tc>
        <w:tc>
          <w:tcPr>
            <w:tcW w:w="1121" w:type="dxa"/>
            <w:tcBorders>
              <w:top w:val="nil"/>
              <w:left w:val="nil"/>
              <w:bottom w:val="single" w:sz="4" w:space="0" w:color="auto"/>
              <w:right w:val="single" w:sz="4" w:space="0" w:color="auto"/>
            </w:tcBorders>
            <w:shd w:val="clear" w:color="auto" w:fill="auto"/>
            <w:noWrap/>
            <w:vAlign w:val="center"/>
            <w:hideMark/>
          </w:tcPr>
          <w:p w14:paraId="11695E53"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113.849</w:t>
            </w:r>
          </w:p>
        </w:tc>
      </w:tr>
      <w:tr w:rsidR="00CA504F" w:rsidRPr="00CA504F" w14:paraId="78AEE9DC" w14:textId="77777777" w:rsidTr="00B83BDC">
        <w:trPr>
          <w:trHeight w:val="805"/>
        </w:trPr>
        <w:tc>
          <w:tcPr>
            <w:tcW w:w="2890" w:type="dxa"/>
            <w:tcBorders>
              <w:top w:val="nil"/>
              <w:left w:val="single" w:sz="4" w:space="0" w:color="auto"/>
              <w:bottom w:val="single" w:sz="4" w:space="0" w:color="auto"/>
              <w:right w:val="single" w:sz="4" w:space="0" w:color="auto"/>
            </w:tcBorders>
            <w:shd w:val="clear" w:color="auto" w:fill="auto"/>
            <w:vAlign w:val="center"/>
            <w:hideMark/>
          </w:tcPr>
          <w:p w14:paraId="453AC6F0" w14:textId="77777777" w:rsidR="00B83BDC" w:rsidRPr="00B83BDC" w:rsidRDefault="00B83BDC" w:rsidP="00B83BDC">
            <w:pPr>
              <w:spacing w:after="0" w:line="240" w:lineRule="auto"/>
              <w:rPr>
                <w:rFonts w:ascii="Times New Roman" w:eastAsia="Times New Roman" w:hAnsi="Times New Roman"/>
                <w:sz w:val="24"/>
                <w:szCs w:val="24"/>
              </w:rPr>
            </w:pPr>
            <w:r w:rsidRPr="00B83BDC">
              <w:rPr>
                <w:rFonts w:ascii="Times New Roman" w:eastAsia="Times New Roman" w:hAnsi="Times New Roman"/>
                <w:sz w:val="24"/>
                <w:szCs w:val="24"/>
              </w:rPr>
              <w:t xml:space="preserve">Bắc Trung Bộ và Duyên Hải Miền Trung </w:t>
            </w:r>
          </w:p>
        </w:tc>
        <w:tc>
          <w:tcPr>
            <w:tcW w:w="1039" w:type="dxa"/>
            <w:tcBorders>
              <w:top w:val="nil"/>
              <w:left w:val="nil"/>
              <w:bottom w:val="single" w:sz="4" w:space="0" w:color="auto"/>
              <w:right w:val="single" w:sz="4" w:space="0" w:color="auto"/>
            </w:tcBorders>
            <w:shd w:val="clear" w:color="auto" w:fill="auto"/>
            <w:noWrap/>
            <w:vAlign w:val="center"/>
            <w:hideMark/>
          </w:tcPr>
          <w:p w14:paraId="7AEEC29F"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78.793</w:t>
            </w:r>
          </w:p>
        </w:tc>
        <w:tc>
          <w:tcPr>
            <w:tcW w:w="1023" w:type="dxa"/>
            <w:tcBorders>
              <w:top w:val="nil"/>
              <w:left w:val="nil"/>
              <w:bottom w:val="single" w:sz="4" w:space="0" w:color="auto"/>
              <w:right w:val="single" w:sz="4" w:space="0" w:color="auto"/>
            </w:tcBorders>
            <w:shd w:val="clear" w:color="auto" w:fill="auto"/>
            <w:noWrap/>
            <w:vAlign w:val="center"/>
            <w:hideMark/>
          </w:tcPr>
          <w:p w14:paraId="34AD3B02"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88.279</w:t>
            </w:r>
          </w:p>
        </w:tc>
        <w:tc>
          <w:tcPr>
            <w:tcW w:w="1121" w:type="dxa"/>
            <w:tcBorders>
              <w:top w:val="nil"/>
              <w:left w:val="nil"/>
              <w:bottom w:val="single" w:sz="4" w:space="0" w:color="auto"/>
              <w:right w:val="single" w:sz="4" w:space="0" w:color="auto"/>
            </w:tcBorders>
            <w:shd w:val="clear" w:color="auto" w:fill="auto"/>
            <w:noWrap/>
            <w:vAlign w:val="center"/>
            <w:hideMark/>
          </w:tcPr>
          <w:p w14:paraId="74BD8F45"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117.297</w:t>
            </w:r>
          </w:p>
        </w:tc>
        <w:tc>
          <w:tcPr>
            <w:tcW w:w="1056" w:type="dxa"/>
            <w:tcBorders>
              <w:top w:val="nil"/>
              <w:left w:val="nil"/>
              <w:bottom w:val="single" w:sz="4" w:space="0" w:color="auto"/>
              <w:right w:val="single" w:sz="4" w:space="0" w:color="auto"/>
            </w:tcBorders>
            <w:shd w:val="clear" w:color="auto" w:fill="auto"/>
            <w:noWrap/>
            <w:vAlign w:val="center"/>
            <w:hideMark/>
          </w:tcPr>
          <w:p w14:paraId="272E3836"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126.050</w:t>
            </w:r>
          </w:p>
        </w:tc>
        <w:tc>
          <w:tcPr>
            <w:tcW w:w="1105" w:type="dxa"/>
            <w:tcBorders>
              <w:top w:val="nil"/>
              <w:left w:val="nil"/>
              <w:bottom w:val="single" w:sz="4" w:space="0" w:color="auto"/>
              <w:right w:val="single" w:sz="4" w:space="0" w:color="auto"/>
            </w:tcBorders>
            <w:shd w:val="clear" w:color="auto" w:fill="auto"/>
            <w:noWrap/>
            <w:vAlign w:val="center"/>
            <w:hideMark/>
          </w:tcPr>
          <w:p w14:paraId="332F4A0F"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132.851</w:t>
            </w:r>
          </w:p>
        </w:tc>
        <w:tc>
          <w:tcPr>
            <w:tcW w:w="1121" w:type="dxa"/>
            <w:tcBorders>
              <w:top w:val="nil"/>
              <w:left w:val="nil"/>
              <w:bottom w:val="single" w:sz="4" w:space="0" w:color="auto"/>
              <w:right w:val="single" w:sz="4" w:space="0" w:color="auto"/>
            </w:tcBorders>
            <w:shd w:val="clear" w:color="auto" w:fill="auto"/>
            <w:noWrap/>
            <w:vAlign w:val="center"/>
            <w:hideMark/>
          </w:tcPr>
          <w:p w14:paraId="3838DE24"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164.563</w:t>
            </w:r>
          </w:p>
        </w:tc>
      </w:tr>
      <w:tr w:rsidR="00CA504F" w:rsidRPr="00CA504F" w14:paraId="37D822D2" w14:textId="77777777" w:rsidTr="00B83BDC">
        <w:trPr>
          <w:trHeight w:val="579"/>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14:paraId="694E9481" w14:textId="77777777" w:rsidR="00B83BDC" w:rsidRPr="00B83BDC" w:rsidRDefault="00B83BDC" w:rsidP="00B83BDC">
            <w:pPr>
              <w:spacing w:after="0" w:line="240" w:lineRule="auto"/>
              <w:rPr>
                <w:rFonts w:ascii="Times New Roman" w:eastAsia="Times New Roman" w:hAnsi="Times New Roman"/>
                <w:sz w:val="24"/>
                <w:szCs w:val="24"/>
              </w:rPr>
            </w:pPr>
            <w:r w:rsidRPr="00B83BDC">
              <w:rPr>
                <w:rFonts w:ascii="Times New Roman" w:eastAsia="Times New Roman" w:hAnsi="Times New Roman"/>
                <w:sz w:val="24"/>
                <w:szCs w:val="24"/>
              </w:rPr>
              <w:t xml:space="preserve">Tây Nguyên </w:t>
            </w:r>
          </w:p>
        </w:tc>
        <w:tc>
          <w:tcPr>
            <w:tcW w:w="1039" w:type="dxa"/>
            <w:tcBorders>
              <w:top w:val="nil"/>
              <w:left w:val="nil"/>
              <w:bottom w:val="single" w:sz="4" w:space="0" w:color="auto"/>
              <w:right w:val="single" w:sz="4" w:space="0" w:color="auto"/>
            </w:tcBorders>
            <w:shd w:val="clear" w:color="auto" w:fill="auto"/>
            <w:noWrap/>
            <w:vAlign w:val="center"/>
            <w:hideMark/>
          </w:tcPr>
          <w:p w14:paraId="06A4152C"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16.448</w:t>
            </w:r>
          </w:p>
        </w:tc>
        <w:tc>
          <w:tcPr>
            <w:tcW w:w="1023" w:type="dxa"/>
            <w:tcBorders>
              <w:top w:val="nil"/>
              <w:left w:val="nil"/>
              <w:bottom w:val="single" w:sz="4" w:space="0" w:color="auto"/>
              <w:right w:val="single" w:sz="4" w:space="0" w:color="auto"/>
            </w:tcBorders>
            <w:shd w:val="clear" w:color="auto" w:fill="auto"/>
            <w:noWrap/>
            <w:vAlign w:val="center"/>
            <w:hideMark/>
          </w:tcPr>
          <w:p w14:paraId="5FCCF992"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18.467</w:t>
            </w:r>
          </w:p>
        </w:tc>
        <w:tc>
          <w:tcPr>
            <w:tcW w:w="1121" w:type="dxa"/>
            <w:tcBorders>
              <w:top w:val="nil"/>
              <w:left w:val="nil"/>
              <w:bottom w:val="single" w:sz="4" w:space="0" w:color="auto"/>
              <w:right w:val="single" w:sz="4" w:space="0" w:color="auto"/>
            </w:tcBorders>
            <w:shd w:val="clear" w:color="auto" w:fill="auto"/>
            <w:noWrap/>
            <w:vAlign w:val="center"/>
            <w:hideMark/>
          </w:tcPr>
          <w:p w14:paraId="558F45E8"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21.374</w:t>
            </w:r>
          </w:p>
        </w:tc>
        <w:tc>
          <w:tcPr>
            <w:tcW w:w="1056" w:type="dxa"/>
            <w:tcBorders>
              <w:top w:val="nil"/>
              <w:left w:val="nil"/>
              <w:bottom w:val="single" w:sz="4" w:space="0" w:color="auto"/>
              <w:right w:val="single" w:sz="4" w:space="0" w:color="auto"/>
            </w:tcBorders>
            <w:shd w:val="clear" w:color="auto" w:fill="auto"/>
            <w:noWrap/>
            <w:vAlign w:val="center"/>
            <w:hideMark/>
          </w:tcPr>
          <w:p w14:paraId="7479B663"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20.843</w:t>
            </w:r>
          </w:p>
        </w:tc>
        <w:tc>
          <w:tcPr>
            <w:tcW w:w="1105" w:type="dxa"/>
            <w:tcBorders>
              <w:top w:val="nil"/>
              <w:left w:val="nil"/>
              <w:bottom w:val="single" w:sz="4" w:space="0" w:color="auto"/>
              <w:right w:val="single" w:sz="4" w:space="0" w:color="auto"/>
            </w:tcBorders>
            <w:shd w:val="clear" w:color="auto" w:fill="auto"/>
            <w:noWrap/>
            <w:vAlign w:val="center"/>
            <w:hideMark/>
          </w:tcPr>
          <w:p w14:paraId="7C56DD63"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21.318</w:t>
            </w:r>
          </w:p>
        </w:tc>
        <w:tc>
          <w:tcPr>
            <w:tcW w:w="1121" w:type="dxa"/>
            <w:tcBorders>
              <w:top w:val="nil"/>
              <w:left w:val="nil"/>
              <w:bottom w:val="single" w:sz="4" w:space="0" w:color="auto"/>
              <w:right w:val="single" w:sz="4" w:space="0" w:color="auto"/>
            </w:tcBorders>
            <w:shd w:val="clear" w:color="auto" w:fill="auto"/>
            <w:noWrap/>
            <w:vAlign w:val="center"/>
            <w:hideMark/>
          </w:tcPr>
          <w:p w14:paraId="2B780EAF" w14:textId="77777777" w:rsidR="00B83BDC" w:rsidRPr="00B83BDC" w:rsidRDefault="00B83BDC" w:rsidP="00B83BDC">
            <w:pPr>
              <w:spacing w:after="0" w:line="240" w:lineRule="auto"/>
              <w:jc w:val="center"/>
              <w:rPr>
                <w:rFonts w:ascii="Times New Roman" w:eastAsia="Times New Roman" w:hAnsi="Times New Roman"/>
                <w:sz w:val="24"/>
                <w:szCs w:val="24"/>
              </w:rPr>
            </w:pPr>
            <w:r w:rsidRPr="00B83BDC">
              <w:rPr>
                <w:rFonts w:ascii="Times New Roman" w:eastAsia="Times New Roman" w:hAnsi="Times New Roman"/>
                <w:sz w:val="24"/>
                <w:szCs w:val="24"/>
              </w:rPr>
              <w:t>26.531</w:t>
            </w:r>
          </w:p>
        </w:tc>
      </w:tr>
      <w:tr w:rsidR="00CA504F" w:rsidRPr="00CA504F" w14:paraId="143F84DD" w14:textId="77777777" w:rsidTr="00B83BDC">
        <w:trPr>
          <w:trHeight w:val="584"/>
        </w:trPr>
        <w:tc>
          <w:tcPr>
            <w:tcW w:w="2890" w:type="dxa"/>
            <w:tcBorders>
              <w:top w:val="nil"/>
              <w:left w:val="single" w:sz="4" w:space="0" w:color="auto"/>
              <w:bottom w:val="single" w:sz="4" w:space="0" w:color="auto"/>
              <w:right w:val="single" w:sz="4" w:space="0" w:color="auto"/>
            </w:tcBorders>
            <w:shd w:val="clear" w:color="auto" w:fill="auto"/>
            <w:noWrap/>
            <w:vAlign w:val="center"/>
            <w:hideMark/>
          </w:tcPr>
          <w:p w14:paraId="79BCA48F" w14:textId="77777777" w:rsidR="00B83BDC" w:rsidRPr="00B83BDC" w:rsidRDefault="00B83BDC" w:rsidP="00B83BDC">
            <w:pPr>
              <w:spacing w:after="0" w:line="240" w:lineRule="auto"/>
              <w:rPr>
                <w:rFonts w:ascii="Times New Roman" w:eastAsia="Times New Roman" w:hAnsi="Times New Roman"/>
                <w:sz w:val="24"/>
                <w:szCs w:val="24"/>
              </w:rPr>
            </w:pPr>
            <w:r w:rsidRPr="00B83BDC">
              <w:rPr>
                <w:rFonts w:ascii="Times New Roman" w:eastAsia="Times New Roman" w:hAnsi="Times New Roman"/>
                <w:sz w:val="24"/>
                <w:szCs w:val="24"/>
              </w:rPr>
              <w:t xml:space="preserve">Đông Nam Bộ </w:t>
            </w:r>
          </w:p>
        </w:tc>
        <w:tc>
          <w:tcPr>
            <w:tcW w:w="1039" w:type="dxa"/>
            <w:tcBorders>
              <w:top w:val="nil"/>
              <w:left w:val="nil"/>
              <w:bottom w:val="single" w:sz="4" w:space="0" w:color="auto"/>
              <w:right w:val="single" w:sz="4" w:space="0" w:color="auto"/>
            </w:tcBorders>
            <w:shd w:val="clear" w:color="auto" w:fill="auto"/>
            <w:noWrap/>
            <w:vAlign w:val="center"/>
            <w:hideMark/>
          </w:tcPr>
          <w:p w14:paraId="5501ECB9" w14:textId="77777777" w:rsidR="00B83BDC" w:rsidRPr="00B83BDC" w:rsidRDefault="00B83BDC" w:rsidP="00B83BDC">
            <w:pPr>
              <w:spacing w:after="0" w:line="240" w:lineRule="auto"/>
              <w:jc w:val="center"/>
              <w:rPr>
                <w:rFonts w:ascii="Times New Roman" w:eastAsia="Times New Roman" w:hAnsi="Times New Roman"/>
                <w:i/>
                <w:iCs/>
                <w:sz w:val="24"/>
                <w:szCs w:val="24"/>
              </w:rPr>
            </w:pPr>
            <w:r w:rsidRPr="00B83BDC">
              <w:rPr>
                <w:rFonts w:ascii="Times New Roman" w:eastAsia="Times New Roman" w:hAnsi="Times New Roman"/>
                <w:i/>
                <w:iCs/>
                <w:sz w:val="24"/>
                <w:szCs w:val="24"/>
              </w:rPr>
              <w:t>180.619</w:t>
            </w:r>
          </w:p>
        </w:tc>
        <w:tc>
          <w:tcPr>
            <w:tcW w:w="1023" w:type="dxa"/>
            <w:tcBorders>
              <w:top w:val="nil"/>
              <w:left w:val="nil"/>
              <w:bottom w:val="single" w:sz="4" w:space="0" w:color="auto"/>
              <w:right w:val="single" w:sz="4" w:space="0" w:color="auto"/>
            </w:tcBorders>
            <w:shd w:val="clear" w:color="auto" w:fill="auto"/>
            <w:noWrap/>
            <w:vAlign w:val="center"/>
            <w:hideMark/>
          </w:tcPr>
          <w:p w14:paraId="45E348E7" w14:textId="77777777" w:rsidR="00B83BDC" w:rsidRPr="00B83BDC" w:rsidRDefault="00B83BDC" w:rsidP="00B83BDC">
            <w:pPr>
              <w:spacing w:after="0" w:line="240" w:lineRule="auto"/>
              <w:jc w:val="center"/>
              <w:rPr>
                <w:rFonts w:ascii="Times New Roman" w:eastAsia="Times New Roman" w:hAnsi="Times New Roman"/>
                <w:i/>
                <w:iCs/>
                <w:sz w:val="24"/>
                <w:szCs w:val="24"/>
              </w:rPr>
            </w:pPr>
            <w:r w:rsidRPr="00B83BDC">
              <w:rPr>
                <w:rFonts w:ascii="Times New Roman" w:eastAsia="Times New Roman" w:hAnsi="Times New Roman"/>
                <w:i/>
                <w:iCs/>
                <w:sz w:val="24"/>
                <w:szCs w:val="24"/>
              </w:rPr>
              <w:t>202.941</w:t>
            </w:r>
          </w:p>
        </w:tc>
        <w:tc>
          <w:tcPr>
            <w:tcW w:w="1121" w:type="dxa"/>
            <w:tcBorders>
              <w:top w:val="nil"/>
              <w:left w:val="nil"/>
              <w:bottom w:val="single" w:sz="4" w:space="0" w:color="auto"/>
              <w:right w:val="single" w:sz="4" w:space="0" w:color="auto"/>
            </w:tcBorders>
            <w:shd w:val="clear" w:color="auto" w:fill="auto"/>
            <w:noWrap/>
            <w:vAlign w:val="center"/>
            <w:hideMark/>
          </w:tcPr>
          <w:p w14:paraId="3B709BA3" w14:textId="77777777" w:rsidR="00B83BDC" w:rsidRPr="00B83BDC" w:rsidRDefault="00B83BDC" w:rsidP="00B83BDC">
            <w:pPr>
              <w:spacing w:after="0" w:line="240" w:lineRule="auto"/>
              <w:jc w:val="center"/>
              <w:rPr>
                <w:rFonts w:ascii="Times New Roman" w:eastAsia="Times New Roman" w:hAnsi="Times New Roman"/>
                <w:i/>
                <w:iCs/>
                <w:sz w:val="24"/>
                <w:szCs w:val="24"/>
              </w:rPr>
            </w:pPr>
            <w:r w:rsidRPr="00B83BDC">
              <w:rPr>
                <w:rFonts w:ascii="Times New Roman" w:eastAsia="Times New Roman" w:hAnsi="Times New Roman"/>
                <w:i/>
                <w:iCs/>
                <w:sz w:val="24"/>
                <w:szCs w:val="24"/>
              </w:rPr>
              <w:t>232.813</w:t>
            </w:r>
          </w:p>
        </w:tc>
        <w:tc>
          <w:tcPr>
            <w:tcW w:w="1056" w:type="dxa"/>
            <w:tcBorders>
              <w:top w:val="nil"/>
              <w:left w:val="nil"/>
              <w:bottom w:val="single" w:sz="4" w:space="0" w:color="auto"/>
              <w:right w:val="single" w:sz="4" w:space="0" w:color="auto"/>
            </w:tcBorders>
            <w:shd w:val="clear" w:color="auto" w:fill="auto"/>
            <w:noWrap/>
            <w:vAlign w:val="center"/>
            <w:hideMark/>
          </w:tcPr>
          <w:p w14:paraId="6A0F8E42" w14:textId="77777777" w:rsidR="00B83BDC" w:rsidRPr="00B83BDC" w:rsidRDefault="00B83BDC" w:rsidP="00B83BDC">
            <w:pPr>
              <w:spacing w:after="0" w:line="240" w:lineRule="auto"/>
              <w:jc w:val="center"/>
              <w:rPr>
                <w:rFonts w:ascii="Times New Roman" w:eastAsia="Times New Roman" w:hAnsi="Times New Roman"/>
                <w:i/>
                <w:iCs/>
                <w:sz w:val="24"/>
                <w:szCs w:val="24"/>
              </w:rPr>
            </w:pPr>
            <w:r w:rsidRPr="00B83BDC">
              <w:rPr>
                <w:rFonts w:ascii="Times New Roman" w:eastAsia="Times New Roman" w:hAnsi="Times New Roman"/>
                <w:i/>
                <w:iCs/>
                <w:sz w:val="24"/>
                <w:szCs w:val="24"/>
              </w:rPr>
              <w:t>243.073</w:t>
            </w:r>
          </w:p>
        </w:tc>
        <w:tc>
          <w:tcPr>
            <w:tcW w:w="1105" w:type="dxa"/>
            <w:tcBorders>
              <w:top w:val="nil"/>
              <w:left w:val="nil"/>
              <w:bottom w:val="single" w:sz="4" w:space="0" w:color="auto"/>
              <w:right w:val="single" w:sz="4" w:space="0" w:color="auto"/>
            </w:tcBorders>
            <w:shd w:val="clear" w:color="auto" w:fill="auto"/>
            <w:noWrap/>
            <w:vAlign w:val="center"/>
            <w:hideMark/>
          </w:tcPr>
          <w:p w14:paraId="71D17634" w14:textId="77777777" w:rsidR="00B83BDC" w:rsidRPr="00B83BDC" w:rsidRDefault="00B83BDC" w:rsidP="00B83BDC">
            <w:pPr>
              <w:spacing w:after="0" w:line="240" w:lineRule="auto"/>
              <w:jc w:val="center"/>
              <w:rPr>
                <w:rFonts w:ascii="Times New Roman" w:eastAsia="Times New Roman" w:hAnsi="Times New Roman"/>
                <w:i/>
                <w:iCs/>
                <w:sz w:val="24"/>
                <w:szCs w:val="24"/>
              </w:rPr>
            </w:pPr>
            <w:r w:rsidRPr="00B83BDC">
              <w:rPr>
                <w:rFonts w:ascii="Times New Roman" w:eastAsia="Times New Roman" w:hAnsi="Times New Roman"/>
                <w:i/>
                <w:iCs/>
                <w:sz w:val="24"/>
                <w:szCs w:val="24"/>
              </w:rPr>
              <w:t>267.374</w:t>
            </w:r>
          </w:p>
        </w:tc>
        <w:tc>
          <w:tcPr>
            <w:tcW w:w="1121" w:type="dxa"/>
            <w:tcBorders>
              <w:top w:val="nil"/>
              <w:left w:val="nil"/>
              <w:bottom w:val="single" w:sz="4" w:space="0" w:color="auto"/>
              <w:right w:val="single" w:sz="4" w:space="0" w:color="auto"/>
            </w:tcBorders>
            <w:shd w:val="clear" w:color="auto" w:fill="auto"/>
            <w:noWrap/>
            <w:vAlign w:val="center"/>
            <w:hideMark/>
          </w:tcPr>
          <w:p w14:paraId="0BB0AF3E" w14:textId="77777777" w:rsidR="00B83BDC" w:rsidRPr="00B83BDC" w:rsidRDefault="00B83BDC" w:rsidP="00B83BDC">
            <w:pPr>
              <w:spacing w:after="0" w:line="240" w:lineRule="auto"/>
              <w:jc w:val="center"/>
              <w:rPr>
                <w:rFonts w:ascii="Times New Roman" w:eastAsia="Times New Roman" w:hAnsi="Times New Roman"/>
                <w:i/>
                <w:iCs/>
                <w:sz w:val="24"/>
                <w:szCs w:val="24"/>
              </w:rPr>
            </w:pPr>
            <w:r w:rsidRPr="00B83BDC">
              <w:rPr>
                <w:rFonts w:ascii="Times New Roman" w:eastAsia="Times New Roman" w:hAnsi="Times New Roman"/>
                <w:i/>
                <w:iCs/>
                <w:sz w:val="24"/>
                <w:szCs w:val="24"/>
              </w:rPr>
              <w:t>268.808</w:t>
            </w:r>
          </w:p>
        </w:tc>
      </w:tr>
      <w:tr w:rsidR="00CA504F" w:rsidRPr="00CA504F" w14:paraId="4A938A2D" w14:textId="77777777" w:rsidTr="00B83BDC">
        <w:trPr>
          <w:trHeight w:val="605"/>
        </w:trPr>
        <w:tc>
          <w:tcPr>
            <w:tcW w:w="2890" w:type="dxa"/>
            <w:tcBorders>
              <w:top w:val="nil"/>
              <w:left w:val="single" w:sz="4" w:space="0" w:color="auto"/>
              <w:bottom w:val="single" w:sz="4" w:space="0" w:color="auto"/>
              <w:right w:val="single" w:sz="4" w:space="0" w:color="auto"/>
            </w:tcBorders>
            <w:shd w:val="clear" w:color="auto" w:fill="auto"/>
            <w:vAlign w:val="center"/>
            <w:hideMark/>
          </w:tcPr>
          <w:p w14:paraId="63D8D39F" w14:textId="77777777" w:rsidR="00B83BDC" w:rsidRPr="00B83BDC" w:rsidRDefault="00B83BDC" w:rsidP="00B83BDC">
            <w:pPr>
              <w:spacing w:after="0" w:line="240" w:lineRule="auto"/>
              <w:rPr>
                <w:rFonts w:ascii="Times New Roman" w:eastAsia="Times New Roman" w:hAnsi="Times New Roman"/>
                <w:sz w:val="24"/>
                <w:szCs w:val="24"/>
              </w:rPr>
            </w:pPr>
            <w:r w:rsidRPr="00B83BDC">
              <w:rPr>
                <w:rFonts w:ascii="Times New Roman" w:eastAsia="Times New Roman" w:hAnsi="Times New Roman"/>
                <w:sz w:val="24"/>
                <w:szCs w:val="24"/>
              </w:rPr>
              <w:t xml:space="preserve">Đồng Bằng Sông Cửu Long </w:t>
            </w:r>
          </w:p>
        </w:tc>
        <w:tc>
          <w:tcPr>
            <w:tcW w:w="1039" w:type="dxa"/>
            <w:tcBorders>
              <w:top w:val="nil"/>
              <w:left w:val="nil"/>
              <w:bottom w:val="single" w:sz="4" w:space="0" w:color="auto"/>
              <w:right w:val="single" w:sz="4" w:space="0" w:color="auto"/>
            </w:tcBorders>
            <w:shd w:val="clear" w:color="auto" w:fill="auto"/>
            <w:noWrap/>
            <w:vAlign w:val="center"/>
            <w:hideMark/>
          </w:tcPr>
          <w:p w14:paraId="103B6397" w14:textId="77777777" w:rsidR="00B83BDC" w:rsidRPr="00B83BDC" w:rsidRDefault="00B83BDC" w:rsidP="00B83BDC">
            <w:pPr>
              <w:spacing w:after="0" w:line="240" w:lineRule="auto"/>
              <w:jc w:val="center"/>
              <w:rPr>
                <w:rFonts w:ascii="Times New Roman" w:eastAsia="Times New Roman" w:hAnsi="Times New Roman"/>
                <w:i/>
                <w:iCs/>
                <w:sz w:val="24"/>
                <w:szCs w:val="24"/>
              </w:rPr>
            </w:pPr>
            <w:r w:rsidRPr="00B83BDC">
              <w:rPr>
                <w:rFonts w:ascii="Times New Roman" w:eastAsia="Times New Roman" w:hAnsi="Times New Roman"/>
                <w:i/>
                <w:iCs/>
                <w:sz w:val="24"/>
                <w:szCs w:val="24"/>
              </w:rPr>
              <w:t>115.356</w:t>
            </w:r>
          </w:p>
        </w:tc>
        <w:tc>
          <w:tcPr>
            <w:tcW w:w="1023" w:type="dxa"/>
            <w:tcBorders>
              <w:top w:val="nil"/>
              <w:left w:val="nil"/>
              <w:bottom w:val="single" w:sz="4" w:space="0" w:color="auto"/>
              <w:right w:val="single" w:sz="4" w:space="0" w:color="auto"/>
            </w:tcBorders>
            <w:shd w:val="clear" w:color="auto" w:fill="auto"/>
            <w:noWrap/>
            <w:vAlign w:val="center"/>
            <w:hideMark/>
          </w:tcPr>
          <w:p w14:paraId="51684FC0" w14:textId="77777777" w:rsidR="00B83BDC" w:rsidRPr="00B83BDC" w:rsidRDefault="00B83BDC" w:rsidP="00B83BDC">
            <w:pPr>
              <w:spacing w:after="0" w:line="240" w:lineRule="auto"/>
              <w:jc w:val="center"/>
              <w:rPr>
                <w:rFonts w:ascii="Times New Roman" w:eastAsia="Times New Roman" w:hAnsi="Times New Roman"/>
                <w:i/>
                <w:iCs/>
                <w:sz w:val="24"/>
                <w:szCs w:val="24"/>
              </w:rPr>
            </w:pPr>
            <w:r w:rsidRPr="00B83BDC">
              <w:rPr>
                <w:rFonts w:ascii="Times New Roman" w:eastAsia="Times New Roman" w:hAnsi="Times New Roman"/>
                <w:i/>
                <w:iCs/>
                <w:sz w:val="24"/>
                <w:szCs w:val="24"/>
              </w:rPr>
              <w:t>127.689</w:t>
            </w:r>
          </w:p>
        </w:tc>
        <w:tc>
          <w:tcPr>
            <w:tcW w:w="1121" w:type="dxa"/>
            <w:tcBorders>
              <w:top w:val="nil"/>
              <w:left w:val="nil"/>
              <w:bottom w:val="single" w:sz="4" w:space="0" w:color="auto"/>
              <w:right w:val="single" w:sz="4" w:space="0" w:color="auto"/>
            </w:tcBorders>
            <w:shd w:val="clear" w:color="auto" w:fill="auto"/>
            <w:noWrap/>
            <w:vAlign w:val="center"/>
            <w:hideMark/>
          </w:tcPr>
          <w:p w14:paraId="29C865EC" w14:textId="77777777" w:rsidR="00B83BDC" w:rsidRPr="00B83BDC" w:rsidRDefault="00B83BDC" w:rsidP="00B83BDC">
            <w:pPr>
              <w:spacing w:after="0" w:line="240" w:lineRule="auto"/>
              <w:jc w:val="center"/>
              <w:rPr>
                <w:rFonts w:ascii="Times New Roman" w:eastAsia="Times New Roman" w:hAnsi="Times New Roman"/>
                <w:i/>
                <w:iCs/>
                <w:sz w:val="24"/>
                <w:szCs w:val="24"/>
              </w:rPr>
            </w:pPr>
            <w:r w:rsidRPr="00B83BDC">
              <w:rPr>
                <w:rFonts w:ascii="Times New Roman" w:eastAsia="Times New Roman" w:hAnsi="Times New Roman"/>
                <w:i/>
                <w:iCs/>
                <w:sz w:val="24"/>
                <w:szCs w:val="24"/>
              </w:rPr>
              <w:t>154.137</w:t>
            </w:r>
          </w:p>
        </w:tc>
        <w:tc>
          <w:tcPr>
            <w:tcW w:w="1056" w:type="dxa"/>
            <w:tcBorders>
              <w:top w:val="nil"/>
              <w:left w:val="nil"/>
              <w:bottom w:val="single" w:sz="4" w:space="0" w:color="auto"/>
              <w:right w:val="single" w:sz="4" w:space="0" w:color="auto"/>
            </w:tcBorders>
            <w:shd w:val="clear" w:color="auto" w:fill="auto"/>
            <w:noWrap/>
            <w:vAlign w:val="center"/>
            <w:hideMark/>
          </w:tcPr>
          <w:p w14:paraId="07FADB2A" w14:textId="77777777" w:rsidR="00B83BDC" w:rsidRPr="00B83BDC" w:rsidRDefault="00B83BDC" w:rsidP="00B83BDC">
            <w:pPr>
              <w:spacing w:after="0" w:line="240" w:lineRule="auto"/>
              <w:jc w:val="center"/>
              <w:rPr>
                <w:rFonts w:ascii="Times New Roman" w:eastAsia="Times New Roman" w:hAnsi="Times New Roman"/>
                <w:i/>
                <w:iCs/>
                <w:sz w:val="24"/>
                <w:szCs w:val="24"/>
              </w:rPr>
            </w:pPr>
            <w:r w:rsidRPr="00B83BDC">
              <w:rPr>
                <w:rFonts w:ascii="Times New Roman" w:eastAsia="Times New Roman" w:hAnsi="Times New Roman"/>
                <w:i/>
                <w:iCs/>
                <w:sz w:val="24"/>
                <w:szCs w:val="24"/>
              </w:rPr>
              <w:t>166.570</w:t>
            </w:r>
          </w:p>
        </w:tc>
        <w:tc>
          <w:tcPr>
            <w:tcW w:w="1105" w:type="dxa"/>
            <w:tcBorders>
              <w:top w:val="nil"/>
              <w:left w:val="nil"/>
              <w:bottom w:val="single" w:sz="4" w:space="0" w:color="auto"/>
              <w:right w:val="single" w:sz="4" w:space="0" w:color="auto"/>
            </w:tcBorders>
            <w:shd w:val="clear" w:color="auto" w:fill="auto"/>
            <w:noWrap/>
            <w:vAlign w:val="center"/>
            <w:hideMark/>
          </w:tcPr>
          <w:p w14:paraId="3DB69839" w14:textId="77777777" w:rsidR="00B83BDC" w:rsidRPr="00B83BDC" w:rsidRDefault="00B83BDC" w:rsidP="00B83BDC">
            <w:pPr>
              <w:spacing w:after="0" w:line="240" w:lineRule="auto"/>
              <w:jc w:val="center"/>
              <w:rPr>
                <w:rFonts w:ascii="Times New Roman" w:eastAsia="Times New Roman" w:hAnsi="Times New Roman"/>
                <w:i/>
                <w:iCs/>
                <w:sz w:val="24"/>
                <w:szCs w:val="24"/>
              </w:rPr>
            </w:pPr>
            <w:r w:rsidRPr="00B83BDC">
              <w:rPr>
                <w:rFonts w:ascii="Times New Roman" w:eastAsia="Times New Roman" w:hAnsi="Times New Roman"/>
                <w:i/>
                <w:iCs/>
                <w:sz w:val="24"/>
                <w:szCs w:val="24"/>
              </w:rPr>
              <w:t>180.507</w:t>
            </w:r>
          </w:p>
        </w:tc>
        <w:tc>
          <w:tcPr>
            <w:tcW w:w="1121" w:type="dxa"/>
            <w:tcBorders>
              <w:top w:val="nil"/>
              <w:left w:val="nil"/>
              <w:bottom w:val="single" w:sz="4" w:space="0" w:color="auto"/>
              <w:right w:val="single" w:sz="4" w:space="0" w:color="auto"/>
            </w:tcBorders>
            <w:shd w:val="clear" w:color="auto" w:fill="auto"/>
            <w:noWrap/>
            <w:vAlign w:val="center"/>
            <w:hideMark/>
          </w:tcPr>
          <w:p w14:paraId="20FAA4DE" w14:textId="77777777" w:rsidR="00B83BDC" w:rsidRPr="00B83BDC" w:rsidRDefault="00B83BDC" w:rsidP="00B83BDC">
            <w:pPr>
              <w:spacing w:after="0" w:line="240" w:lineRule="auto"/>
              <w:jc w:val="center"/>
              <w:rPr>
                <w:rFonts w:ascii="Times New Roman" w:eastAsia="Times New Roman" w:hAnsi="Times New Roman"/>
                <w:i/>
                <w:iCs/>
                <w:sz w:val="24"/>
                <w:szCs w:val="24"/>
              </w:rPr>
            </w:pPr>
            <w:r w:rsidRPr="00B83BDC">
              <w:rPr>
                <w:rFonts w:ascii="Times New Roman" w:eastAsia="Times New Roman" w:hAnsi="Times New Roman"/>
                <w:i/>
                <w:iCs/>
                <w:sz w:val="24"/>
                <w:szCs w:val="24"/>
              </w:rPr>
              <w:t>225.909</w:t>
            </w:r>
          </w:p>
        </w:tc>
      </w:tr>
    </w:tbl>
    <w:p w14:paraId="4A3CF437" w14:textId="77777777" w:rsidR="00F2695F" w:rsidRPr="00CA504F" w:rsidRDefault="00F2695F" w:rsidP="00F2695F">
      <w:pPr>
        <w:pStyle w:val="1"/>
        <w:spacing w:after="60"/>
        <w:jc w:val="right"/>
        <w:rPr>
          <w:b w:val="0"/>
          <w:i/>
          <w:sz w:val="24"/>
          <w:szCs w:val="28"/>
        </w:rPr>
      </w:pPr>
      <w:r w:rsidRPr="00CA504F">
        <w:rPr>
          <w:b w:val="0"/>
          <w:i/>
          <w:sz w:val="24"/>
          <w:szCs w:val="28"/>
        </w:rPr>
        <w:t>(Nguồn: Hệ thống quản lý chính sách TCS)</w:t>
      </w:r>
    </w:p>
    <w:p w14:paraId="0ED6BCF3" w14:textId="51F320A6" w:rsidR="00E93C72" w:rsidRPr="00CA504F" w:rsidRDefault="00E93C72" w:rsidP="00CA504F">
      <w:pPr>
        <w:pStyle w:val="1"/>
        <w:spacing w:before="120" w:after="120" w:line="276" w:lineRule="auto"/>
        <w:ind w:firstLine="709"/>
        <w:jc w:val="both"/>
        <w:rPr>
          <w:b w:val="0"/>
          <w:sz w:val="28"/>
          <w:szCs w:val="28"/>
          <w:lang w:val="pt-BR"/>
        </w:rPr>
      </w:pPr>
      <w:r w:rsidRPr="00CA504F">
        <w:rPr>
          <w:b w:val="0"/>
          <w:sz w:val="28"/>
          <w:szCs w:val="28"/>
          <w:lang w:val="pt-BR"/>
        </w:rPr>
        <w:t xml:space="preserve">- Số người hưởng BHXH một lần trong giai đoạn 2016-2022 hầu hết là những </w:t>
      </w:r>
      <w:r w:rsidRPr="00CA504F">
        <w:rPr>
          <w:b w:val="0"/>
          <w:sz w:val="28"/>
          <w:szCs w:val="28"/>
          <w:lang w:val="pt-BR"/>
        </w:rPr>
        <w:lastRenderedPageBreak/>
        <w:t>lao động có thời gian tham gia BHXH ngắn; hầu hết là dưới 10 năm; cụ thể dưới 5 năm chiếm đến 66,6% số lượt người đề nghị hưởng, từ 5 năm đến dưới 10 năm chiếm 23,8%.</w:t>
      </w:r>
    </w:p>
    <w:p w14:paraId="5F1B6029" w14:textId="32E1821A" w:rsidR="00E93C72" w:rsidRPr="00CA504F" w:rsidRDefault="00E93C72" w:rsidP="00E93C72">
      <w:pPr>
        <w:pStyle w:val="1"/>
        <w:spacing w:after="120" w:line="276" w:lineRule="auto"/>
        <w:ind w:firstLine="709"/>
        <w:rPr>
          <w:bCs/>
          <w:sz w:val="24"/>
          <w:szCs w:val="24"/>
          <w:lang w:val="pt-BR"/>
        </w:rPr>
      </w:pPr>
      <w:r w:rsidRPr="00CA504F">
        <w:rPr>
          <w:bCs/>
          <w:sz w:val="24"/>
          <w:szCs w:val="24"/>
          <w:lang w:val="pt-BR"/>
        </w:rPr>
        <w:t xml:space="preserve">Bảng </w:t>
      </w:r>
      <w:r w:rsidR="0036194B" w:rsidRPr="00CA504F">
        <w:rPr>
          <w:bCs/>
          <w:sz w:val="24"/>
          <w:szCs w:val="24"/>
          <w:lang w:val="pt-BR"/>
        </w:rPr>
        <w:t>6</w:t>
      </w:r>
      <w:r w:rsidRPr="00CA504F">
        <w:rPr>
          <w:bCs/>
          <w:sz w:val="24"/>
          <w:szCs w:val="24"/>
          <w:lang w:val="pt-BR"/>
        </w:rPr>
        <w:t>: Số người hưởng BHXH một lần theo thời gian đóng</w:t>
      </w:r>
    </w:p>
    <w:tbl>
      <w:tblPr>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834"/>
        <w:gridCol w:w="1835"/>
      </w:tblGrid>
      <w:tr w:rsidR="00CA504F" w:rsidRPr="00CA504F" w14:paraId="7D328554" w14:textId="77777777" w:rsidTr="009C7A19">
        <w:trPr>
          <w:trHeight w:val="778"/>
        </w:trPr>
        <w:tc>
          <w:tcPr>
            <w:tcW w:w="5634" w:type="dxa"/>
            <w:vMerge w:val="restart"/>
            <w:shd w:val="clear" w:color="auto" w:fill="auto"/>
            <w:vAlign w:val="center"/>
            <w:hideMark/>
          </w:tcPr>
          <w:p w14:paraId="3844F357" w14:textId="77777777" w:rsidR="00E93C72" w:rsidRPr="00CA504F" w:rsidRDefault="00E93C72" w:rsidP="008E3C42">
            <w:pPr>
              <w:spacing w:after="0" w:line="240" w:lineRule="auto"/>
              <w:jc w:val="center"/>
              <w:rPr>
                <w:rFonts w:ascii="Times New Roman Bold" w:eastAsia="Times New Roman" w:hAnsi="Times New Roman Bold"/>
                <w:b/>
                <w:bCs/>
                <w:spacing w:val="-2"/>
                <w:sz w:val="24"/>
                <w:szCs w:val="24"/>
              </w:rPr>
            </w:pPr>
            <w:r w:rsidRPr="00CA504F">
              <w:rPr>
                <w:rFonts w:ascii="Times New Roman Bold" w:eastAsia="Times New Roman" w:hAnsi="Times New Roman Bold"/>
                <w:b/>
                <w:bCs/>
                <w:spacing w:val="-2"/>
                <w:sz w:val="24"/>
                <w:szCs w:val="24"/>
              </w:rPr>
              <w:t>Thời gian đã đóng BHXH tính hưởng BHXH một lần</w:t>
            </w:r>
          </w:p>
        </w:tc>
        <w:tc>
          <w:tcPr>
            <w:tcW w:w="3669" w:type="dxa"/>
            <w:gridSpan w:val="2"/>
            <w:shd w:val="clear" w:color="auto" w:fill="auto"/>
            <w:vAlign w:val="center"/>
            <w:hideMark/>
          </w:tcPr>
          <w:p w14:paraId="48382067" w14:textId="77777777" w:rsidR="00E93C72" w:rsidRPr="00CA504F" w:rsidRDefault="00E93C72" w:rsidP="008E3C42">
            <w:pPr>
              <w:spacing w:after="0" w:line="240" w:lineRule="auto"/>
              <w:jc w:val="center"/>
              <w:rPr>
                <w:rFonts w:ascii="Times New Roman" w:eastAsia="Times New Roman" w:hAnsi="Times New Roman"/>
                <w:b/>
                <w:bCs/>
                <w:sz w:val="24"/>
                <w:szCs w:val="24"/>
              </w:rPr>
            </w:pPr>
            <w:r w:rsidRPr="00CA504F">
              <w:rPr>
                <w:rFonts w:ascii="Times New Roman" w:eastAsia="Times New Roman" w:hAnsi="Times New Roman"/>
                <w:b/>
                <w:bCs/>
                <w:sz w:val="24"/>
                <w:szCs w:val="24"/>
              </w:rPr>
              <w:t>Số lượt người đề nghị hưởng</w:t>
            </w:r>
            <w:r w:rsidRPr="00CA504F">
              <w:rPr>
                <w:rFonts w:ascii="Times New Roman" w:eastAsia="Times New Roman" w:hAnsi="Times New Roman"/>
                <w:b/>
                <w:bCs/>
                <w:sz w:val="24"/>
                <w:szCs w:val="24"/>
              </w:rPr>
              <w:br/>
              <w:t>(đvt: lượt người)</w:t>
            </w:r>
          </w:p>
        </w:tc>
      </w:tr>
      <w:tr w:rsidR="00CA504F" w:rsidRPr="00CA504F" w14:paraId="5E7BF314" w14:textId="77777777" w:rsidTr="009C7A19">
        <w:trPr>
          <w:trHeight w:val="562"/>
        </w:trPr>
        <w:tc>
          <w:tcPr>
            <w:tcW w:w="5634" w:type="dxa"/>
            <w:vMerge/>
            <w:vAlign w:val="center"/>
            <w:hideMark/>
          </w:tcPr>
          <w:p w14:paraId="2D769D09" w14:textId="77777777" w:rsidR="00E93C72" w:rsidRPr="00CA504F" w:rsidRDefault="00E93C72" w:rsidP="008E3C42">
            <w:pPr>
              <w:spacing w:after="0" w:line="240" w:lineRule="auto"/>
              <w:rPr>
                <w:rFonts w:ascii="Times New Roman" w:eastAsia="Times New Roman" w:hAnsi="Times New Roman"/>
                <w:b/>
                <w:bCs/>
                <w:sz w:val="24"/>
                <w:szCs w:val="24"/>
              </w:rPr>
            </w:pPr>
          </w:p>
        </w:tc>
        <w:tc>
          <w:tcPr>
            <w:tcW w:w="1834" w:type="dxa"/>
            <w:shd w:val="clear" w:color="auto" w:fill="auto"/>
            <w:vAlign w:val="center"/>
            <w:hideMark/>
          </w:tcPr>
          <w:p w14:paraId="3A7324A8"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Tổng</w:t>
            </w:r>
          </w:p>
        </w:tc>
        <w:tc>
          <w:tcPr>
            <w:tcW w:w="1835" w:type="dxa"/>
            <w:shd w:val="clear" w:color="auto" w:fill="auto"/>
            <w:vAlign w:val="center"/>
            <w:hideMark/>
          </w:tcPr>
          <w:p w14:paraId="6E521852"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Nữ giới</w:t>
            </w:r>
          </w:p>
        </w:tc>
      </w:tr>
      <w:tr w:rsidR="00CA504F" w:rsidRPr="00CA504F" w14:paraId="4A750FD0" w14:textId="77777777" w:rsidTr="009C7A19">
        <w:trPr>
          <w:trHeight w:val="608"/>
        </w:trPr>
        <w:tc>
          <w:tcPr>
            <w:tcW w:w="5634" w:type="dxa"/>
            <w:shd w:val="clear" w:color="auto" w:fill="auto"/>
            <w:vAlign w:val="bottom"/>
            <w:hideMark/>
          </w:tcPr>
          <w:p w14:paraId="542938AE" w14:textId="77777777" w:rsidR="00E93C72" w:rsidRPr="00CA504F" w:rsidRDefault="00E93C72" w:rsidP="008E3C42">
            <w:pPr>
              <w:spacing w:after="0" w:line="240" w:lineRule="auto"/>
              <w:rPr>
                <w:rFonts w:ascii="Times New Roman" w:eastAsia="Times New Roman" w:hAnsi="Times New Roman"/>
                <w:sz w:val="24"/>
                <w:szCs w:val="24"/>
              </w:rPr>
            </w:pPr>
            <w:r w:rsidRPr="00CA504F">
              <w:rPr>
                <w:rFonts w:ascii="Times New Roman" w:eastAsia="Times New Roman" w:hAnsi="Times New Roman"/>
                <w:sz w:val="24"/>
                <w:szCs w:val="24"/>
              </w:rPr>
              <w:t>Dưới 1 năm</w:t>
            </w:r>
          </w:p>
        </w:tc>
        <w:tc>
          <w:tcPr>
            <w:tcW w:w="1834" w:type="dxa"/>
            <w:shd w:val="clear" w:color="auto" w:fill="auto"/>
            <w:vAlign w:val="bottom"/>
            <w:hideMark/>
          </w:tcPr>
          <w:p w14:paraId="4C705310"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479.334</w:t>
            </w:r>
          </w:p>
        </w:tc>
        <w:tc>
          <w:tcPr>
            <w:tcW w:w="1835" w:type="dxa"/>
            <w:shd w:val="clear" w:color="auto" w:fill="auto"/>
            <w:vAlign w:val="bottom"/>
            <w:hideMark/>
          </w:tcPr>
          <w:p w14:paraId="0C2F5D37"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246.979</w:t>
            </w:r>
          </w:p>
        </w:tc>
      </w:tr>
      <w:tr w:rsidR="00CA504F" w:rsidRPr="00CA504F" w14:paraId="66835753" w14:textId="77777777" w:rsidTr="009C7A19">
        <w:trPr>
          <w:trHeight w:val="608"/>
        </w:trPr>
        <w:tc>
          <w:tcPr>
            <w:tcW w:w="5634" w:type="dxa"/>
            <w:shd w:val="clear" w:color="auto" w:fill="auto"/>
            <w:vAlign w:val="bottom"/>
            <w:hideMark/>
          </w:tcPr>
          <w:p w14:paraId="78C652C5" w14:textId="77777777" w:rsidR="00E93C72" w:rsidRPr="00CA504F" w:rsidRDefault="00E93C72" w:rsidP="008E3C42">
            <w:pPr>
              <w:spacing w:after="0" w:line="240" w:lineRule="auto"/>
              <w:rPr>
                <w:rFonts w:ascii="Times New Roman" w:eastAsia="Times New Roman" w:hAnsi="Times New Roman"/>
                <w:sz w:val="24"/>
                <w:szCs w:val="24"/>
              </w:rPr>
            </w:pPr>
            <w:r w:rsidRPr="00CA504F">
              <w:rPr>
                <w:rFonts w:ascii="Times New Roman" w:eastAsia="Times New Roman" w:hAnsi="Times New Roman"/>
                <w:sz w:val="24"/>
                <w:szCs w:val="24"/>
              </w:rPr>
              <w:t>Từ đủ 1 năm đến dưới 5 năm</w:t>
            </w:r>
          </w:p>
        </w:tc>
        <w:tc>
          <w:tcPr>
            <w:tcW w:w="1834" w:type="dxa"/>
            <w:shd w:val="clear" w:color="auto" w:fill="auto"/>
            <w:vAlign w:val="bottom"/>
            <w:hideMark/>
          </w:tcPr>
          <w:p w14:paraId="6B623B50"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3.086.428</w:t>
            </w:r>
          </w:p>
        </w:tc>
        <w:tc>
          <w:tcPr>
            <w:tcW w:w="1835" w:type="dxa"/>
            <w:shd w:val="clear" w:color="auto" w:fill="auto"/>
            <w:vAlign w:val="bottom"/>
            <w:hideMark/>
          </w:tcPr>
          <w:p w14:paraId="328A4DB2"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1.701.695</w:t>
            </w:r>
          </w:p>
        </w:tc>
      </w:tr>
      <w:tr w:rsidR="00CA504F" w:rsidRPr="00CA504F" w14:paraId="1517E63E" w14:textId="77777777" w:rsidTr="009C7A19">
        <w:trPr>
          <w:trHeight w:val="608"/>
        </w:trPr>
        <w:tc>
          <w:tcPr>
            <w:tcW w:w="5634" w:type="dxa"/>
            <w:shd w:val="clear" w:color="auto" w:fill="auto"/>
            <w:vAlign w:val="bottom"/>
            <w:hideMark/>
          </w:tcPr>
          <w:p w14:paraId="10F7DEBF" w14:textId="77777777" w:rsidR="00E93C72" w:rsidRPr="00CA504F" w:rsidRDefault="00E93C72" w:rsidP="008E3C42">
            <w:pPr>
              <w:spacing w:after="0" w:line="240" w:lineRule="auto"/>
              <w:rPr>
                <w:rFonts w:ascii="Times New Roman" w:eastAsia="Times New Roman" w:hAnsi="Times New Roman"/>
                <w:sz w:val="24"/>
                <w:szCs w:val="24"/>
              </w:rPr>
            </w:pPr>
            <w:r w:rsidRPr="00CA504F">
              <w:rPr>
                <w:rFonts w:ascii="Times New Roman" w:eastAsia="Times New Roman" w:hAnsi="Times New Roman"/>
                <w:sz w:val="24"/>
                <w:szCs w:val="24"/>
              </w:rPr>
              <w:t>Từ đủ 5 năm đến dưới 10 năm</w:t>
            </w:r>
          </w:p>
        </w:tc>
        <w:tc>
          <w:tcPr>
            <w:tcW w:w="1834" w:type="dxa"/>
            <w:shd w:val="clear" w:color="auto" w:fill="auto"/>
            <w:vAlign w:val="bottom"/>
            <w:hideMark/>
          </w:tcPr>
          <w:p w14:paraId="1029103E"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1.272.594</w:t>
            </w:r>
          </w:p>
        </w:tc>
        <w:tc>
          <w:tcPr>
            <w:tcW w:w="1835" w:type="dxa"/>
            <w:shd w:val="clear" w:color="auto" w:fill="auto"/>
            <w:vAlign w:val="bottom"/>
            <w:hideMark/>
          </w:tcPr>
          <w:p w14:paraId="1260DF9C"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717.981</w:t>
            </w:r>
          </w:p>
        </w:tc>
      </w:tr>
      <w:tr w:rsidR="00CA504F" w:rsidRPr="00CA504F" w14:paraId="6CDAD666" w14:textId="77777777" w:rsidTr="009C7A19">
        <w:trPr>
          <w:trHeight w:val="608"/>
        </w:trPr>
        <w:tc>
          <w:tcPr>
            <w:tcW w:w="5634" w:type="dxa"/>
            <w:shd w:val="clear" w:color="auto" w:fill="auto"/>
            <w:vAlign w:val="bottom"/>
            <w:hideMark/>
          </w:tcPr>
          <w:p w14:paraId="288F7F2E" w14:textId="77777777" w:rsidR="00E93C72" w:rsidRPr="00CA504F" w:rsidRDefault="00E93C72" w:rsidP="008E3C42">
            <w:pPr>
              <w:spacing w:after="0" w:line="240" w:lineRule="auto"/>
              <w:rPr>
                <w:rFonts w:ascii="Times New Roman" w:eastAsia="Times New Roman" w:hAnsi="Times New Roman"/>
                <w:sz w:val="24"/>
                <w:szCs w:val="24"/>
              </w:rPr>
            </w:pPr>
            <w:r w:rsidRPr="00CA504F">
              <w:rPr>
                <w:rFonts w:ascii="Times New Roman" w:eastAsia="Times New Roman" w:hAnsi="Times New Roman"/>
                <w:sz w:val="24"/>
                <w:szCs w:val="24"/>
              </w:rPr>
              <w:t>Từ đủ 10 năm đến dưới 15 năm</w:t>
            </w:r>
          </w:p>
        </w:tc>
        <w:tc>
          <w:tcPr>
            <w:tcW w:w="1834" w:type="dxa"/>
            <w:shd w:val="clear" w:color="auto" w:fill="auto"/>
            <w:vAlign w:val="bottom"/>
            <w:hideMark/>
          </w:tcPr>
          <w:p w14:paraId="240EE141"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384.403</w:t>
            </w:r>
          </w:p>
        </w:tc>
        <w:tc>
          <w:tcPr>
            <w:tcW w:w="1835" w:type="dxa"/>
            <w:shd w:val="clear" w:color="auto" w:fill="auto"/>
            <w:vAlign w:val="bottom"/>
            <w:hideMark/>
          </w:tcPr>
          <w:p w14:paraId="69E43069"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203.698</w:t>
            </w:r>
          </w:p>
        </w:tc>
      </w:tr>
      <w:tr w:rsidR="00CA504F" w:rsidRPr="00CA504F" w14:paraId="1942B2E3" w14:textId="77777777" w:rsidTr="009C7A19">
        <w:trPr>
          <w:trHeight w:val="608"/>
        </w:trPr>
        <w:tc>
          <w:tcPr>
            <w:tcW w:w="5634" w:type="dxa"/>
            <w:shd w:val="clear" w:color="auto" w:fill="auto"/>
            <w:vAlign w:val="bottom"/>
            <w:hideMark/>
          </w:tcPr>
          <w:p w14:paraId="20B38A8C" w14:textId="77777777" w:rsidR="00E93C72" w:rsidRPr="00CA504F" w:rsidRDefault="00E93C72" w:rsidP="008E3C42">
            <w:pPr>
              <w:spacing w:after="0" w:line="240" w:lineRule="auto"/>
              <w:rPr>
                <w:rFonts w:ascii="Times New Roman" w:eastAsia="Times New Roman" w:hAnsi="Times New Roman"/>
                <w:sz w:val="24"/>
                <w:szCs w:val="24"/>
              </w:rPr>
            </w:pPr>
            <w:r w:rsidRPr="00CA504F">
              <w:rPr>
                <w:rFonts w:ascii="Times New Roman" w:eastAsia="Times New Roman" w:hAnsi="Times New Roman"/>
                <w:sz w:val="24"/>
                <w:szCs w:val="24"/>
              </w:rPr>
              <w:t>Từ đủ 15 năm đến dưới 20 năm</w:t>
            </w:r>
          </w:p>
        </w:tc>
        <w:tc>
          <w:tcPr>
            <w:tcW w:w="1834" w:type="dxa"/>
            <w:shd w:val="clear" w:color="auto" w:fill="auto"/>
            <w:vAlign w:val="bottom"/>
            <w:hideMark/>
          </w:tcPr>
          <w:p w14:paraId="22D6D056"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120.295</w:t>
            </w:r>
          </w:p>
        </w:tc>
        <w:tc>
          <w:tcPr>
            <w:tcW w:w="1835" w:type="dxa"/>
            <w:shd w:val="clear" w:color="auto" w:fill="auto"/>
            <w:vAlign w:val="bottom"/>
            <w:hideMark/>
          </w:tcPr>
          <w:p w14:paraId="260344EA"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58.857</w:t>
            </w:r>
          </w:p>
        </w:tc>
      </w:tr>
      <w:tr w:rsidR="00CA504F" w:rsidRPr="00CA504F" w14:paraId="040DEC98" w14:textId="77777777" w:rsidTr="009C7A19">
        <w:trPr>
          <w:trHeight w:val="608"/>
        </w:trPr>
        <w:tc>
          <w:tcPr>
            <w:tcW w:w="5634" w:type="dxa"/>
            <w:shd w:val="clear" w:color="auto" w:fill="auto"/>
            <w:vAlign w:val="bottom"/>
            <w:hideMark/>
          </w:tcPr>
          <w:p w14:paraId="16047D48" w14:textId="77777777" w:rsidR="00E93C72" w:rsidRPr="00CA504F" w:rsidRDefault="00E93C72" w:rsidP="008E3C42">
            <w:pPr>
              <w:spacing w:after="0" w:line="240" w:lineRule="auto"/>
              <w:rPr>
                <w:rFonts w:ascii="Times New Roman" w:eastAsia="Times New Roman" w:hAnsi="Times New Roman"/>
                <w:sz w:val="24"/>
                <w:szCs w:val="24"/>
              </w:rPr>
            </w:pPr>
            <w:r w:rsidRPr="00CA504F">
              <w:rPr>
                <w:rFonts w:ascii="Times New Roman" w:eastAsia="Times New Roman" w:hAnsi="Times New Roman"/>
                <w:sz w:val="24"/>
                <w:szCs w:val="24"/>
              </w:rPr>
              <w:t>Từ đủ 20 năm trở lên</w:t>
            </w:r>
          </w:p>
        </w:tc>
        <w:tc>
          <w:tcPr>
            <w:tcW w:w="1834" w:type="dxa"/>
            <w:shd w:val="clear" w:color="auto" w:fill="auto"/>
            <w:vAlign w:val="bottom"/>
            <w:hideMark/>
          </w:tcPr>
          <w:p w14:paraId="4546FEE9"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6.805</w:t>
            </w:r>
          </w:p>
        </w:tc>
        <w:tc>
          <w:tcPr>
            <w:tcW w:w="1835" w:type="dxa"/>
            <w:shd w:val="clear" w:color="auto" w:fill="auto"/>
            <w:vAlign w:val="bottom"/>
            <w:hideMark/>
          </w:tcPr>
          <w:p w14:paraId="4FADFC9F" w14:textId="77777777" w:rsidR="00E93C72" w:rsidRPr="00CA504F" w:rsidRDefault="00E93C72" w:rsidP="008E3C42">
            <w:pPr>
              <w:spacing w:after="0" w:line="240" w:lineRule="auto"/>
              <w:jc w:val="center"/>
              <w:rPr>
                <w:rFonts w:ascii="Times New Roman" w:eastAsia="Times New Roman" w:hAnsi="Times New Roman"/>
                <w:sz w:val="24"/>
                <w:szCs w:val="24"/>
              </w:rPr>
            </w:pPr>
            <w:r w:rsidRPr="00CA504F">
              <w:rPr>
                <w:rFonts w:ascii="Times New Roman" w:eastAsia="Times New Roman" w:hAnsi="Times New Roman"/>
                <w:sz w:val="24"/>
                <w:szCs w:val="24"/>
              </w:rPr>
              <w:t>2.289</w:t>
            </w:r>
          </w:p>
        </w:tc>
      </w:tr>
    </w:tbl>
    <w:p w14:paraId="70D9CE75" w14:textId="77777777" w:rsidR="00E93C72" w:rsidRPr="00CA504F" w:rsidRDefault="00E93C72" w:rsidP="00E93C72">
      <w:pPr>
        <w:pStyle w:val="1"/>
        <w:spacing w:after="60"/>
        <w:jc w:val="right"/>
        <w:rPr>
          <w:b w:val="0"/>
          <w:i/>
          <w:sz w:val="24"/>
          <w:szCs w:val="28"/>
        </w:rPr>
      </w:pPr>
      <w:r w:rsidRPr="00CA504F">
        <w:rPr>
          <w:b w:val="0"/>
          <w:i/>
          <w:sz w:val="24"/>
          <w:szCs w:val="28"/>
        </w:rPr>
        <w:t>(Nguồn: Hệ thống quản lý chính sách TCS)</w:t>
      </w:r>
    </w:p>
    <w:p w14:paraId="1C1528DB" w14:textId="38C39C19" w:rsidR="00CD75FA" w:rsidRPr="00CA504F" w:rsidRDefault="00E93C72" w:rsidP="00E93C72">
      <w:pPr>
        <w:pStyle w:val="1"/>
        <w:spacing w:after="120" w:line="276" w:lineRule="auto"/>
        <w:ind w:firstLine="709"/>
        <w:jc w:val="both"/>
        <w:rPr>
          <w:b w:val="0"/>
          <w:sz w:val="28"/>
          <w:szCs w:val="28"/>
          <w:lang w:val="pt-BR"/>
        </w:rPr>
      </w:pPr>
      <w:r w:rsidRPr="00CA504F">
        <w:rPr>
          <w:b w:val="0"/>
          <w:sz w:val="28"/>
          <w:szCs w:val="28"/>
          <w:lang w:val="pt-BR"/>
        </w:rPr>
        <w:t>Kết hợp với số liệu 90</w:t>
      </w:r>
      <w:r w:rsidR="00CD75FA" w:rsidRPr="00CA504F">
        <w:rPr>
          <w:b w:val="0"/>
          <w:sz w:val="28"/>
          <w:szCs w:val="28"/>
          <w:lang w:val="pt-BR"/>
        </w:rPr>
        <w:t>,74</w:t>
      </w:r>
      <w:r w:rsidRPr="00CA504F">
        <w:rPr>
          <w:b w:val="0"/>
          <w:sz w:val="28"/>
          <w:szCs w:val="28"/>
          <w:lang w:val="pt-BR"/>
        </w:rPr>
        <w:t xml:space="preserve">% người lao động hưởng BHXH một lần làm việc khu vực ngoài Nhà nước thì số liệu này cũng phần nào thể hiện công việc của người lao động trong khu vực này </w:t>
      </w:r>
      <w:r w:rsidR="00EF73CE" w:rsidRPr="00CA504F">
        <w:rPr>
          <w:b w:val="0"/>
          <w:sz w:val="28"/>
          <w:szCs w:val="28"/>
          <w:lang w:val="pt-BR"/>
        </w:rPr>
        <w:t xml:space="preserve">thường xuyên </w:t>
      </w:r>
      <w:r w:rsidRPr="00CA504F">
        <w:rPr>
          <w:b w:val="0"/>
          <w:sz w:val="28"/>
          <w:szCs w:val="28"/>
          <w:lang w:val="pt-BR"/>
        </w:rPr>
        <w:t>biến động</w:t>
      </w:r>
      <w:r w:rsidR="006402D5" w:rsidRPr="00CA504F">
        <w:rPr>
          <w:b w:val="0"/>
          <w:sz w:val="28"/>
          <w:szCs w:val="28"/>
          <w:lang w:val="pt-BR"/>
        </w:rPr>
        <w:t>; trong thời gian chờ đợi công việc mới họ thường có xu hướng nghĩ đến hưởng BHXH một lần</w:t>
      </w:r>
      <w:r w:rsidR="00CD75FA" w:rsidRPr="00CA504F">
        <w:rPr>
          <w:b w:val="0"/>
          <w:sz w:val="28"/>
          <w:szCs w:val="28"/>
          <w:lang w:val="pt-BR"/>
        </w:rPr>
        <w:t>.</w:t>
      </w:r>
    </w:p>
    <w:p w14:paraId="0416D8B9" w14:textId="41E658FE" w:rsidR="00E93C72" w:rsidRPr="00CA504F" w:rsidRDefault="00CD75FA" w:rsidP="00BC202A">
      <w:pPr>
        <w:pStyle w:val="1"/>
        <w:spacing w:after="120" w:line="276" w:lineRule="auto"/>
        <w:ind w:firstLine="709"/>
        <w:jc w:val="both"/>
        <w:rPr>
          <w:b w:val="0"/>
          <w:sz w:val="28"/>
          <w:szCs w:val="28"/>
        </w:rPr>
      </w:pPr>
      <w:r w:rsidRPr="00CA504F">
        <w:rPr>
          <w:b w:val="0"/>
          <w:sz w:val="28"/>
          <w:szCs w:val="28"/>
          <w:lang w:val="pt-BR"/>
        </w:rPr>
        <w:t>Ng</w:t>
      </w:r>
      <w:r w:rsidR="007F1E50" w:rsidRPr="00CA504F">
        <w:rPr>
          <w:b w:val="0"/>
          <w:sz w:val="28"/>
          <w:szCs w:val="28"/>
          <w:lang w:val="pt-BR"/>
        </w:rPr>
        <w:t>oài</w:t>
      </w:r>
      <w:r w:rsidRPr="00CA504F">
        <w:rPr>
          <w:b w:val="0"/>
          <w:sz w:val="28"/>
          <w:szCs w:val="28"/>
          <w:lang w:val="pt-BR"/>
        </w:rPr>
        <w:t xml:space="preserve"> ra, sau ảnh hưởng của dịch covid-19 đã xuất hiện thêm xu hướng lao động ưu tiên chọn công việc linh hoạt về thời gian, địa điểm (trên 60% trong tổng số hơn 1.300 công nhân được khảo sát trả lời muốn đổi nghề, tìm việc ở những nhóm ngành khác như việc làm trực tuyến, gia công tại nhà, bán hàng, tài xế, giao hàng ...</w:t>
      </w:r>
      <w:r w:rsidR="00462BDD" w:rsidRPr="00CA504F">
        <w:rPr>
          <w:b w:val="0"/>
          <w:sz w:val="28"/>
          <w:szCs w:val="28"/>
          <w:lang w:val="pt-BR"/>
        </w:rPr>
        <w:t xml:space="preserve"> Sự thay đổi về hình thức làm việc, kinh doanh từ trực tiếp sang trực tuyến cũng phần nhiều ảnh hưởng đến việc tiếp tục tham gia BHXH của người lao động sau khi nghỉ việc và họ thường nghĩ </w:t>
      </w:r>
      <w:r w:rsidR="00F0148E" w:rsidRPr="00CA504F">
        <w:rPr>
          <w:b w:val="0"/>
          <w:sz w:val="28"/>
          <w:szCs w:val="28"/>
          <w:lang w:val="pt-BR"/>
        </w:rPr>
        <w:t xml:space="preserve">ngắn hạn, coi </w:t>
      </w:r>
      <w:r w:rsidR="00462BDD" w:rsidRPr="00CA504F">
        <w:rPr>
          <w:b w:val="0"/>
          <w:sz w:val="28"/>
          <w:szCs w:val="28"/>
          <w:lang w:val="pt-BR"/>
        </w:rPr>
        <w:t>BHXH một lần như là một khoản để trang trải kinh phí cũng có vốn làm ăn mà không nghĩ đến</w:t>
      </w:r>
      <w:r w:rsidR="00F0148E" w:rsidRPr="00CA504F">
        <w:rPr>
          <w:b w:val="0"/>
          <w:sz w:val="28"/>
          <w:szCs w:val="28"/>
          <w:lang w:val="pt-BR"/>
        </w:rPr>
        <w:t xml:space="preserve"> mục tiêu dài hạn để hưởng chế độ hưu trí, đảm bảo cuộc sống về già. Đây hầu hết là suy nghĩ của những người lao động trẻ, có thời gian tham gia BHXH ngắn.</w:t>
      </w:r>
    </w:p>
    <w:p w14:paraId="10545E1D" w14:textId="1E0783CB" w:rsidR="000856FA" w:rsidRDefault="00912296" w:rsidP="00BC202A">
      <w:pPr>
        <w:pStyle w:val="1"/>
        <w:spacing w:after="120" w:line="276" w:lineRule="auto"/>
        <w:ind w:firstLine="709"/>
        <w:jc w:val="both"/>
        <w:rPr>
          <w:b w:val="0"/>
          <w:sz w:val="28"/>
          <w:szCs w:val="28"/>
        </w:rPr>
      </w:pPr>
      <w:r w:rsidRPr="00CA504F">
        <w:rPr>
          <w:b w:val="0"/>
          <w:sz w:val="28"/>
          <w:szCs w:val="28"/>
        </w:rPr>
        <w:t xml:space="preserve">- </w:t>
      </w:r>
      <w:r w:rsidR="000856FA" w:rsidRPr="00CA504F">
        <w:rPr>
          <w:b w:val="0"/>
          <w:sz w:val="28"/>
          <w:szCs w:val="28"/>
        </w:rPr>
        <w:t xml:space="preserve">Xét theo độ tuổi bình quân </w:t>
      </w:r>
      <w:r w:rsidRPr="00CA504F">
        <w:rPr>
          <w:b w:val="0"/>
          <w:sz w:val="28"/>
          <w:szCs w:val="28"/>
        </w:rPr>
        <w:t xml:space="preserve">người lao động </w:t>
      </w:r>
      <w:r w:rsidR="000856FA" w:rsidRPr="00CA504F">
        <w:rPr>
          <w:b w:val="0"/>
          <w:sz w:val="28"/>
          <w:szCs w:val="28"/>
        </w:rPr>
        <w:t xml:space="preserve">hưởng BHXH một lần, ta có </w:t>
      </w:r>
      <w:r w:rsidRPr="00CA504F">
        <w:rPr>
          <w:b w:val="0"/>
          <w:sz w:val="28"/>
          <w:szCs w:val="28"/>
        </w:rPr>
        <w:t>b</w:t>
      </w:r>
      <w:r w:rsidR="000856FA" w:rsidRPr="00CA504F">
        <w:rPr>
          <w:b w:val="0"/>
          <w:sz w:val="28"/>
          <w:szCs w:val="28"/>
        </w:rPr>
        <w:t>ảng số liệu dưới đây.</w:t>
      </w:r>
    </w:p>
    <w:p w14:paraId="43484811" w14:textId="77777777" w:rsidR="00545387" w:rsidRDefault="00545387" w:rsidP="00BC202A">
      <w:pPr>
        <w:pStyle w:val="1"/>
        <w:spacing w:after="120" w:line="276" w:lineRule="auto"/>
        <w:ind w:firstLine="709"/>
        <w:jc w:val="both"/>
        <w:rPr>
          <w:b w:val="0"/>
          <w:sz w:val="28"/>
          <w:szCs w:val="28"/>
        </w:rPr>
      </w:pPr>
    </w:p>
    <w:p w14:paraId="47019DF9" w14:textId="77777777" w:rsidR="00545387" w:rsidRPr="00CA504F" w:rsidRDefault="00545387" w:rsidP="00BC202A">
      <w:pPr>
        <w:pStyle w:val="1"/>
        <w:spacing w:after="120" w:line="276" w:lineRule="auto"/>
        <w:ind w:firstLine="709"/>
        <w:jc w:val="both"/>
        <w:rPr>
          <w:b w:val="0"/>
          <w:sz w:val="28"/>
          <w:szCs w:val="28"/>
        </w:rPr>
      </w:pPr>
    </w:p>
    <w:p w14:paraId="0FAB439F" w14:textId="3A25ED34" w:rsidR="000856FA" w:rsidRPr="00CA504F" w:rsidRDefault="000856FA" w:rsidP="001F4385">
      <w:pPr>
        <w:pStyle w:val="1"/>
        <w:spacing w:after="60"/>
        <w:ind w:firstLine="709"/>
        <w:rPr>
          <w:sz w:val="24"/>
          <w:szCs w:val="28"/>
        </w:rPr>
      </w:pPr>
      <w:r w:rsidRPr="00CA504F">
        <w:rPr>
          <w:sz w:val="24"/>
          <w:szCs w:val="28"/>
        </w:rPr>
        <w:lastRenderedPageBreak/>
        <w:t xml:space="preserve">Bảng </w:t>
      </w:r>
      <w:r w:rsidR="00CA504F" w:rsidRPr="00CA504F">
        <w:rPr>
          <w:sz w:val="24"/>
          <w:szCs w:val="28"/>
        </w:rPr>
        <w:t>7</w:t>
      </w:r>
      <w:r w:rsidRPr="00CA504F">
        <w:rPr>
          <w:sz w:val="24"/>
          <w:szCs w:val="28"/>
        </w:rPr>
        <w:t>: Số người hưởng BHXH một lần theo độ tuổi bình quân</w:t>
      </w:r>
    </w:p>
    <w:tbl>
      <w:tblPr>
        <w:tblStyle w:val="TableGrid"/>
        <w:tblW w:w="9379" w:type="dxa"/>
        <w:tblLook w:val="04A0" w:firstRow="1" w:lastRow="0" w:firstColumn="1" w:lastColumn="0" w:noHBand="0" w:noVBand="1"/>
      </w:tblPr>
      <w:tblGrid>
        <w:gridCol w:w="783"/>
        <w:gridCol w:w="1037"/>
        <w:gridCol w:w="1778"/>
        <w:gridCol w:w="1781"/>
        <w:gridCol w:w="1777"/>
        <w:gridCol w:w="2223"/>
      </w:tblGrid>
      <w:tr w:rsidR="00CA504F" w:rsidRPr="00CA504F" w14:paraId="4E7CE0CC" w14:textId="77777777" w:rsidTr="00F2695F">
        <w:trPr>
          <w:trHeight w:val="825"/>
        </w:trPr>
        <w:tc>
          <w:tcPr>
            <w:tcW w:w="783" w:type="dxa"/>
            <w:vMerge w:val="restart"/>
          </w:tcPr>
          <w:p w14:paraId="384DF05F"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eastAsia="Times New Roman" w:hAnsi="Times New Roman"/>
                <w:b/>
                <w:sz w:val="24"/>
                <w:szCs w:val="28"/>
              </w:rPr>
              <w:t>STT</w:t>
            </w:r>
          </w:p>
        </w:tc>
        <w:tc>
          <w:tcPr>
            <w:tcW w:w="1037" w:type="dxa"/>
            <w:vMerge w:val="restart"/>
          </w:tcPr>
          <w:p w14:paraId="210B3C8A"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eastAsia="Times New Roman" w:hAnsi="Times New Roman"/>
                <w:b/>
                <w:sz w:val="24"/>
                <w:szCs w:val="28"/>
              </w:rPr>
              <w:t>Năm</w:t>
            </w:r>
          </w:p>
        </w:tc>
        <w:tc>
          <w:tcPr>
            <w:tcW w:w="3559" w:type="dxa"/>
            <w:gridSpan w:val="2"/>
            <w:vAlign w:val="center"/>
          </w:tcPr>
          <w:p w14:paraId="471E2D4F"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eastAsia="Times New Roman" w:hAnsi="Times New Roman"/>
                <w:b/>
                <w:sz w:val="24"/>
                <w:szCs w:val="28"/>
              </w:rPr>
              <w:t>Tuổi nghỉ hưởng trợ cấp bình quân (tuổi)</w:t>
            </w:r>
          </w:p>
        </w:tc>
        <w:tc>
          <w:tcPr>
            <w:tcW w:w="4000" w:type="dxa"/>
            <w:gridSpan w:val="2"/>
          </w:tcPr>
          <w:p w14:paraId="6BBD0BDC"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eastAsia="Times New Roman" w:hAnsi="Times New Roman"/>
                <w:b/>
                <w:sz w:val="24"/>
                <w:szCs w:val="28"/>
              </w:rPr>
              <w:t>Tổng thời gian đóng BHXH bình quân (Năm)</w:t>
            </w:r>
          </w:p>
        </w:tc>
      </w:tr>
      <w:tr w:rsidR="00CA504F" w:rsidRPr="00CA504F" w14:paraId="2548C81A" w14:textId="77777777" w:rsidTr="00F2695F">
        <w:trPr>
          <w:trHeight w:val="553"/>
        </w:trPr>
        <w:tc>
          <w:tcPr>
            <w:tcW w:w="783" w:type="dxa"/>
            <w:vMerge/>
          </w:tcPr>
          <w:p w14:paraId="27C8BEEA" w14:textId="77777777" w:rsidR="000856FA" w:rsidRPr="00CA504F" w:rsidRDefault="000856FA" w:rsidP="000856FA">
            <w:pPr>
              <w:spacing w:after="60" w:line="360" w:lineRule="auto"/>
              <w:jc w:val="center"/>
              <w:rPr>
                <w:rFonts w:ascii="Times New Roman" w:eastAsia="Times New Roman" w:hAnsi="Times New Roman"/>
                <w:sz w:val="24"/>
                <w:szCs w:val="28"/>
              </w:rPr>
            </w:pPr>
          </w:p>
        </w:tc>
        <w:tc>
          <w:tcPr>
            <w:tcW w:w="1037" w:type="dxa"/>
            <w:vMerge/>
            <w:vAlign w:val="center"/>
          </w:tcPr>
          <w:p w14:paraId="5B50D173" w14:textId="77777777" w:rsidR="000856FA" w:rsidRPr="00CA504F" w:rsidRDefault="000856FA" w:rsidP="000856FA">
            <w:pPr>
              <w:spacing w:after="60" w:line="360" w:lineRule="auto"/>
              <w:jc w:val="center"/>
              <w:rPr>
                <w:rFonts w:ascii="Times New Roman" w:hAnsi="Times New Roman"/>
                <w:sz w:val="24"/>
                <w:szCs w:val="28"/>
              </w:rPr>
            </w:pPr>
          </w:p>
        </w:tc>
        <w:tc>
          <w:tcPr>
            <w:tcW w:w="1778" w:type="dxa"/>
            <w:vAlign w:val="center"/>
          </w:tcPr>
          <w:p w14:paraId="46801CB1" w14:textId="77777777" w:rsidR="000856FA" w:rsidRPr="00CA504F" w:rsidRDefault="000856FA" w:rsidP="000856FA">
            <w:pPr>
              <w:spacing w:after="60" w:line="360" w:lineRule="auto"/>
              <w:jc w:val="center"/>
              <w:rPr>
                <w:rFonts w:ascii="Times New Roman" w:eastAsia="Times New Roman" w:hAnsi="Times New Roman"/>
                <w:i/>
                <w:sz w:val="24"/>
                <w:szCs w:val="28"/>
              </w:rPr>
            </w:pPr>
            <w:r w:rsidRPr="00CA504F">
              <w:rPr>
                <w:rFonts w:ascii="Times New Roman" w:eastAsia="Times New Roman" w:hAnsi="Times New Roman"/>
                <w:i/>
                <w:sz w:val="24"/>
                <w:szCs w:val="28"/>
              </w:rPr>
              <w:t>Nam</w:t>
            </w:r>
          </w:p>
        </w:tc>
        <w:tc>
          <w:tcPr>
            <w:tcW w:w="1781" w:type="dxa"/>
          </w:tcPr>
          <w:p w14:paraId="3BD98C11" w14:textId="77777777" w:rsidR="000856FA" w:rsidRPr="00CA504F" w:rsidRDefault="000856FA" w:rsidP="000856FA">
            <w:pPr>
              <w:spacing w:after="60" w:line="360" w:lineRule="auto"/>
              <w:jc w:val="center"/>
              <w:rPr>
                <w:rFonts w:ascii="Times New Roman" w:eastAsia="Times New Roman" w:hAnsi="Times New Roman"/>
                <w:i/>
                <w:sz w:val="24"/>
                <w:szCs w:val="28"/>
              </w:rPr>
            </w:pPr>
            <w:r w:rsidRPr="00CA504F">
              <w:rPr>
                <w:rFonts w:ascii="Times New Roman" w:eastAsia="Times New Roman" w:hAnsi="Times New Roman"/>
                <w:i/>
                <w:sz w:val="24"/>
                <w:szCs w:val="28"/>
              </w:rPr>
              <w:t>Nữ</w:t>
            </w:r>
          </w:p>
        </w:tc>
        <w:tc>
          <w:tcPr>
            <w:tcW w:w="1777" w:type="dxa"/>
            <w:tcBorders>
              <w:top w:val="nil"/>
              <w:left w:val="nil"/>
              <w:bottom w:val="single" w:sz="4" w:space="0" w:color="auto"/>
              <w:right w:val="single" w:sz="4" w:space="0" w:color="auto"/>
            </w:tcBorders>
            <w:shd w:val="clear" w:color="auto" w:fill="auto"/>
            <w:vAlign w:val="center"/>
          </w:tcPr>
          <w:p w14:paraId="23DF32E2" w14:textId="77777777" w:rsidR="000856FA" w:rsidRPr="00CA504F" w:rsidRDefault="000856FA" w:rsidP="000856FA">
            <w:pPr>
              <w:spacing w:after="60" w:line="360" w:lineRule="auto"/>
              <w:jc w:val="center"/>
              <w:rPr>
                <w:rFonts w:ascii="Times New Roman" w:eastAsia="Times New Roman" w:hAnsi="Times New Roman"/>
                <w:i/>
                <w:sz w:val="24"/>
                <w:szCs w:val="28"/>
              </w:rPr>
            </w:pPr>
            <w:r w:rsidRPr="00CA504F">
              <w:rPr>
                <w:rFonts w:ascii="Times New Roman" w:eastAsia="Times New Roman" w:hAnsi="Times New Roman"/>
                <w:i/>
                <w:sz w:val="24"/>
                <w:szCs w:val="28"/>
              </w:rPr>
              <w:t>Nam</w:t>
            </w:r>
          </w:p>
        </w:tc>
        <w:tc>
          <w:tcPr>
            <w:tcW w:w="2223" w:type="dxa"/>
          </w:tcPr>
          <w:p w14:paraId="44AFBF40" w14:textId="77777777" w:rsidR="000856FA" w:rsidRPr="00CA504F" w:rsidRDefault="000856FA" w:rsidP="000856FA">
            <w:pPr>
              <w:spacing w:after="60" w:line="360" w:lineRule="auto"/>
              <w:jc w:val="center"/>
              <w:rPr>
                <w:rFonts w:ascii="Times New Roman" w:eastAsia="Times New Roman" w:hAnsi="Times New Roman"/>
                <w:i/>
                <w:sz w:val="24"/>
                <w:szCs w:val="28"/>
              </w:rPr>
            </w:pPr>
            <w:r w:rsidRPr="00CA504F">
              <w:rPr>
                <w:rFonts w:ascii="Times New Roman" w:eastAsia="Times New Roman" w:hAnsi="Times New Roman"/>
                <w:i/>
                <w:sz w:val="24"/>
                <w:szCs w:val="28"/>
              </w:rPr>
              <w:t>Nữ</w:t>
            </w:r>
          </w:p>
        </w:tc>
      </w:tr>
      <w:tr w:rsidR="00CA504F" w:rsidRPr="00CA504F" w14:paraId="39B44FD6" w14:textId="77777777" w:rsidTr="00F2695F">
        <w:trPr>
          <w:trHeight w:val="535"/>
        </w:trPr>
        <w:tc>
          <w:tcPr>
            <w:tcW w:w="783" w:type="dxa"/>
          </w:tcPr>
          <w:p w14:paraId="74315CB7"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eastAsia="Times New Roman" w:hAnsi="Times New Roman"/>
                <w:sz w:val="24"/>
                <w:szCs w:val="28"/>
              </w:rPr>
              <w:t>1</w:t>
            </w:r>
          </w:p>
        </w:tc>
        <w:tc>
          <w:tcPr>
            <w:tcW w:w="1037" w:type="dxa"/>
            <w:vAlign w:val="center"/>
          </w:tcPr>
          <w:p w14:paraId="24BEDF6E"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hAnsi="Times New Roman"/>
                <w:sz w:val="24"/>
                <w:szCs w:val="28"/>
              </w:rPr>
              <w:t>2016</w:t>
            </w:r>
          </w:p>
        </w:tc>
        <w:tc>
          <w:tcPr>
            <w:tcW w:w="1778" w:type="dxa"/>
            <w:tcBorders>
              <w:top w:val="single" w:sz="4" w:space="0" w:color="auto"/>
              <w:left w:val="single" w:sz="4" w:space="0" w:color="auto"/>
              <w:bottom w:val="single" w:sz="4" w:space="0" w:color="auto"/>
              <w:right w:val="single" w:sz="4" w:space="0" w:color="auto"/>
            </w:tcBorders>
            <w:shd w:val="clear" w:color="auto" w:fill="auto"/>
            <w:vAlign w:val="center"/>
          </w:tcPr>
          <w:p w14:paraId="498E37AE"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hAnsi="Times New Roman"/>
                <w:sz w:val="24"/>
                <w:szCs w:val="28"/>
              </w:rPr>
              <w:t>34.04</w:t>
            </w:r>
          </w:p>
        </w:tc>
        <w:tc>
          <w:tcPr>
            <w:tcW w:w="1781" w:type="dxa"/>
            <w:tcBorders>
              <w:top w:val="single" w:sz="4" w:space="0" w:color="auto"/>
              <w:left w:val="nil"/>
              <w:bottom w:val="single" w:sz="4" w:space="0" w:color="auto"/>
              <w:right w:val="single" w:sz="4" w:space="0" w:color="auto"/>
            </w:tcBorders>
            <w:shd w:val="clear" w:color="auto" w:fill="auto"/>
            <w:vAlign w:val="center"/>
          </w:tcPr>
          <w:p w14:paraId="6FFAFB4E"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hAnsi="Times New Roman"/>
                <w:sz w:val="24"/>
                <w:szCs w:val="28"/>
              </w:rPr>
              <w:t>31.69</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0A87CB29"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hAnsi="Times New Roman"/>
                <w:sz w:val="24"/>
                <w:szCs w:val="28"/>
              </w:rPr>
              <w:t>4.31</w:t>
            </w:r>
          </w:p>
        </w:tc>
        <w:tc>
          <w:tcPr>
            <w:tcW w:w="2223" w:type="dxa"/>
            <w:tcBorders>
              <w:top w:val="single" w:sz="4" w:space="0" w:color="auto"/>
              <w:left w:val="nil"/>
              <w:bottom w:val="single" w:sz="4" w:space="0" w:color="auto"/>
              <w:right w:val="single" w:sz="4" w:space="0" w:color="auto"/>
            </w:tcBorders>
            <w:shd w:val="clear" w:color="auto" w:fill="auto"/>
            <w:vAlign w:val="center"/>
          </w:tcPr>
          <w:p w14:paraId="1689A60F"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hAnsi="Times New Roman"/>
                <w:sz w:val="24"/>
                <w:szCs w:val="28"/>
              </w:rPr>
              <w:t>3.86</w:t>
            </w:r>
          </w:p>
        </w:tc>
      </w:tr>
      <w:tr w:rsidR="00CA504F" w:rsidRPr="00CA504F" w14:paraId="272975DF" w14:textId="77777777" w:rsidTr="00F2695F">
        <w:trPr>
          <w:trHeight w:val="553"/>
        </w:trPr>
        <w:tc>
          <w:tcPr>
            <w:tcW w:w="783" w:type="dxa"/>
          </w:tcPr>
          <w:p w14:paraId="55679C08"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eastAsia="Times New Roman" w:hAnsi="Times New Roman"/>
                <w:sz w:val="24"/>
                <w:szCs w:val="28"/>
              </w:rPr>
              <w:t>2</w:t>
            </w:r>
          </w:p>
        </w:tc>
        <w:tc>
          <w:tcPr>
            <w:tcW w:w="1037" w:type="dxa"/>
            <w:vAlign w:val="center"/>
          </w:tcPr>
          <w:p w14:paraId="02D9D034"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hAnsi="Times New Roman"/>
                <w:sz w:val="24"/>
                <w:szCs w:val="28"/>
              </w:rPr>
              <w:t>2017</w:t>
            </w:r>
          </w:p>
        </w:tc>
        <w:tc>
          <w:tcPr>
            <w:tcW w:w="1778" w:type="dxa"/>
            <w:tcBorders>
              <w:top w:val="single" w:sz="4" w:space="0" w:color="auto"/>
              <w:left w:val="single" w:sz="4" w:space="0" w:color="auto"/>
              <w:bottom w:val="single" w:sz="4" w:space="0" w:color="auto"/>
              <w:right w:val="single" w:sz="4" w:space="0" w:color="auto"/>
            </w:tcBorders>
            <w:shd w:val="clear" w:color="auto" w:fill="auto"/>
            <w:vAlign w:val="center"/>
          </w:tcPr>
          <w:p w14:paraId="79150094"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hAnsi="Times New Roman"/>
                <w:sz w:val="24"/>
                <w:szCs w:val="28"/>
              </w:rPr>
              <w:t>34.14</w:t>
            </w:r>
          </w:p>
        </w:tc>
        <w:tc>
          <w:tcPr>
            <w:tcW w:w="1781" w:type="dxa"/>
            <w:tcBorders>
              <w:top w:val="single" w:sz="4" w:space="0" w:color="auto"/>
              <w:left w:val="nil"/>
              <w:bottom w:val="single" w:sz="4" w:space="0" w:color="auto"/>
              <w:right w:val="single" w:sz="4" w:space="0" w:color="auto"/>
            </w:tcBorders>
            <w:shd w:val="clear" w:color="auto" w:fill="auto"/>
            <w:vAlign w:val="center"/>
          </w:tcPr>
          <w:p w14:paraId="35C4159F"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hAnsi="Times New Roman"/>
                <w:sz w:val="24"/>
                <w:szCs w:val="28"/>
              </w:rPr>
              <w:t>31.94</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3E7E35E0"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hAnsi="Times New Roman"/>
                <w:sz w:val="24"/>
                <w:szCs w:val="28"/>
              </w:rPr>
              <w:t>4.47</w:t>
            </w:r>
          </w:p>
        </w:tc>
        <w:tc>
          <w:tcPr>
            <w:tcW w:w="2223" w:type="dxa"/>
            <w:tcBorders>
              <w:top w:val="single" w:sz="4" w:space="0" w:color="auto"/>
              <w:left w:val="nil"/>
              <w:bottom w:val="single" w:sz="4" w:space="0" w:color="auto"/>
              <w:right w:val="single" w:sz="4" w:space="0" w:color="auto"/>
            </w:tcBorders>
            <w:shd w:val="clear" w:color="auto" w:fill="auto"/>
            <w:vAlign w:val="center"/>
          </w:tcPr>
          <w:p w14:paraId="0AE5A64C"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hAnsi="Times New Roman"/>
                <w:sz w:val="24"/>
                <w:szCs w:val="28"/>
              </w:rPr>
              <w:t>3.98</w:t>
            </w:r>
          </w:p>
        </w:tc>
      </w:tr>
      <w:tr w:rsidR="00CA504F" w:rsidRPr="00CA504F" w14:paraId="1F2BB88F" w14:textId="77777777" w:rsidTr="00F2695F">
        <w:trPr>
          <w:trHeight w:val="535"/>
        </w:trPr>
        <w:tc>
          <w:tcPr>
            <w:tcW w:w="783" w:type="dxa"/>
          </w:tcPr>
          <w:p w14:paraId="7C9BB1B1"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eastAsia="Times New Roman" w:hAnsi="Times New Roman"/>
                <w:sz w:val="24"/>
                <w:szCs w:val="28"/>
              </w:rPr>
              <w:t>3</w:t>
            </w:r>
          </w:p>
        </w:tc>
        <w:tc>
          <w:tcPr>
            <w:tcW w:w="1037" w:type="dxa"/>
            <w:vAlign w:val="center"/>
          </w:tcPr>
          <w:p w14:paraId="7BFCD0A7"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hAnsi="Times New Roman"/>
                <w:sz w:val="24"/>
                <w:szCs w:val="28"/>
              </w:rPr>
              <w:t>2018</w:t>
            </w:r>
          </w:p>
        </w:tc>
        <w:tc>
          <w:tcPr>
            <w:tcW w:w="1778" w:type="dxa"/>
            <w:tcBorders>
              <w:top w:val="single" w:sz="4" w:space="0" w:color="auto"/>
              <w:left w:val="single" w:sz="4" w:space="0" w:color="auto"/>
              <w:bottom w:val="single" w:sz="4" w:space="0" w:color="auto"/>
              <w:right w:val="single" w:sz="4" w:space="0" w:color="auto"/>
            </w:tcBorders>
            <w:shd w:val="clear" w:color="auto" w:fill="auto"/>
            <w:vAlign w:val="center"/>
          </w:tcPr>
          <w:p w14:paraId="2CDD9287"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hAnsi="Times New Roman"/>
                <w:sz w:val="24"/>
                <w:szCs w:val="28"/>
              </w:rPr>
              <w:t>34.54</w:t>
            </w:r>
          </w:p>
        </w:tc>
        <w:tc>
          <w:tcPr>
            <w:tcW w:w="1781" w:type="dxa"/>
            <w:tcBorders>
              <w:top w:val="single" w:sz="4" w:space="0" w:color="auto"/>
              <w:left w:val="nil"/>
              <w:bottom w:val="single" w:sz="4" w:space="0" w:color="auto"/>
              <w:right w:val="single" w:sz="4" w:space="0" w:color="auto"/>
            </w:tcBorders>
            <w:shd w:val="clear" w:color="auto" w:fill="auto"/>
            <w:vAlign w:val="center"/>
          </w:tcPr>
          <w:p w14:paraId="4B4B0242"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hAnsi="Times New Roman"/>
                <w:sz w:val="24"/>
                <w:szCs w:val="28"/>
              </w:rPr>
              <w:t>32.21</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17A2872E"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hAnsi="Times New Roman"/>
                <w:sz w:val="24"/>
                <w:szCs w:val="28"/>
              </w:rPr>
              <w:t>4.59</w:t>
            </w:r>
          </w:p>
        </w:tc>
        <w:tc>
          <w:tcPr>
            <w:tcW w:w="2223" w:type="dxa"/>
            <w:tcBorders>
              <w:top w:val="single" w:sz="4" w:space="0" w:color="auto"/>
              <w:left w:val="nil"/>
              <w:bottom w:val="single" w:sz="4" w:space="0" w:color="auto"/>
              <w:right w:val="single" w:sz="4" w:space="0" w:color="auto"/>
            </w:tcBorders>
            <w:shd w:val="clear" w:color="auto" w:fill="auto"/>
            <w:vAlign w:val="center"/>
          </w:tcPr>
          <w:p w14:paraId="5128A416"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hAnsi="Times New Roman"/>
                <w:sz w:val="24"/>
                <w:szCs w:val="28"/>
              </w:rPr>
              <w:t>4.28</w:t>
            </w:r>
          </w:p>
        </w:tc>
      </w:tr>
      <w:tr w:rsidR="00CA504F" w:rsidRPr="00CA504F" w14:paraId="7254AB2F" w14:textId="77777777" w:rsidTr="00F2695F">
        <w:trPr>
          <w:trHeight w:val="535"/>
        </w:trPr>
        <w:tc>
          <w:tcPr>
            <w:tcW w:w="783" w:type="dxa"/>
          </w:tcPr>
          <w:p w14:paraId="6B54143F"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eastAsia="Times New Roman" w:hAnsi="Times New Roman"/>
                <w:sz w:val="24"/>
                <w:szCs w:val="28"/>
              </w:rPr>
              <w:t>4</w:t>
            </w:r>
          </w:p>
        </w:tc>
        <w:tc>
          <w:tcPr>
            <w:tcW w:w="1037" w:type="dxa"/>
            <w:vAlign w:val="center"/>
          </w:tcPr>
          <w:p w14:paraId="1399ADF9"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hAnsi="Times New Roman"/>
                <w:sz w:val="24"/>
                <w:szCs w:val="28"/>
              </w:rPr>
              <w:t>2019</w:t>
            </w:r>
          </w:p>
        </w:tc>
        <w:tc>
          <w:tcPr>
            <w:tcW w:w="1778" w:type="dxa"/>
            <w:tcBorders>
              <w:top w:val="single" w:sz="4" w:space="0" w:color="auto"/>
              <w:left w:val="single" w:sz="4" w:space="0" w:color="auto"/>
              <w:bottom w:val="single" w:sz="4" w:space="0" w:color="auto"/>
              <w:right w:val="single" w:sz="4" w:space="0" w:color="auto"/>
            </w:tcBorders>
            <w:shd w:val="clear" w:color="auto" w:fill="auto"/>
            <w:vAlign w:val="center"/>
          </w:tcPr>
          <w:p w14:paraId="09B3F151"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hAnsi="Times New Roman"/>
                <w:sz w:val="24"/>
                <w:szCs w:val="28"/>
              </w:rPr>
              <w:t>34.51</w:t>
            </w:r>
          </w:p>
        </w:tc>
        <w:tc>
          <w:tcPr>
            <w:tcW w:w="1781" w:type="dxa"/>
            <w:tcBorders>
              <w:top w:val="single" w:sz="4" w:space="0" w:color="auto"/>
              <w:left w:val="nil"/>
              <w:bottom w:val="single" w:sz="4" w:space="0" w:color="auto"/>
              <w:right w:val="single" w:sz="4" w:space="0" w:color="auto"/>
            </w:tcBorders>
            <w:shd w:val="clear" w:color="auto" w:fill="auto"/>
            <w:vAlign w:val="center"/>
          </w:tcPr>
          <w:p w14:paraId="573D6B51"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hAnsi="Times New Roman"/>
                <w:sz w:val="24"/>
                <w:szCs w:val="28"/>
              </w:rPr>
              <w:t>32.44</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6A4AF9C9" w14:textId="77777777" w:rsidR="000856FA" w:rsidRPr="00CA504F" w:rsidRDefault="000856FA" w:rsidP="000856FA">
            <w:pPr>
              <w:spacing w:after="60" w:line="360" w:lineRule="auto"/>
              <w:jc w:val="center"/>
              <w:rPr>
                <w:rFonts w:ascii="Times New Roman" w:eastAsia="Times New Roman" w:hAnsi="Times New Roman"/>
                <w:b/>
                <w:sz w:val="24"/>
                <w:szCs w:val="28"/>
              </w:rPr>
            </w:pPr>
            <w:r w:rsidRPr="00CA504F">
              <w:rPr>
                <w:rFonts w:ascii="Times New Roman" w:hAnsi="Times New Roman"/>
                <w:sz w:val="24"/>
                <w:szCs w:val="28"/>
              </w:rPr>
              <w:t>4.66</w:t>
            </w:r>
          </w:p>
        </w:tc>
        <w:tc>
          <w:tcPr>
            <w:tcW w:w="2223" w:type="dxa"/>
            <w:tcBorders>
              <w:top w:val="single" w:sz="4" w:space="0" w:color="auto"/>
              <w:left w:val="nil"/>
              <w:bottom w:val="single" w:sz="4" w:space="0" w:color="auto"/>
              <w:right w:val="single" w:sz="4" w:space="0" w:color="auto"/>
            </w:tcBorders>
            <w:shd w:val="clear" w:color="auto" w:fill="auto"/>
            <w:vAlign w:val="center"/>
          </w:tcPr>
          <w:p w14:paraId="595D7B6B"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hAnsi="Times New Roman"/>
                <w:sz w:val="24"/>
                <w:szCs w:val="28"/>
              </w:rPr>
              <w:t>4.46</w:t>
            </w:r>
          </w:p>
        </w:tc>
      </w:tr>
      <w:tr w:rsidR="00CA504F" w:rsidRPr="00CA504F" w14:paraId="16757B02" w14:textId="77777777" w:rsidTr="00F2695F">
        <w:trPr>
          <w:trHeight w:val="451"/>
        </w:trPr>
        <w:tc>
          <w:tcPr>
            <w:tcW w:w="783" w:type="dxa"/>
          </w:tcPr>
          <w:p w14:paraId="353818D2" w14:textId="77777777" w:rsidR="000856FA" w:rsidRPr="00CA504F" w:rsidRDefault="000856FA" w:rsidP="000856FA">
            <w:pPr>
              <w:spacing w:after="60" w:line="360" w:lineRule="auto"/>
              <w:jc w:val="center"/>
              <w:rPr>
                <w:rFonts w:ascii="Times New Roman" w:eastAsia="Times New Roman" w:hAnsi="Times New Roman"/>
                <w:sz w:val="24"/>
                <w:szCs w:val="28"/>
              </w:rPr>
            </w:pPr>
            <w:r w:rsidRPr="00CA504F">
              <w:rPr>
                <w:rFonts w:ascii="Times New Roman" w:eastAsia="Times New Roman" w:hAnsi="Times New Roman"/>
                <w:sz w:val="24"/>
                <w:szCs w:val="28"/>
              </w:rPr>
              <w:t>5</w:t>
            </w:r>
          </w:p>
        </w:tc>
        <w:tc>
          <w:tcPr>
            <w:tcW w:w="1037" w:type="dxa"/>
            <w:vAlign w:val="center"/>
          </w:tcPr>
          <w:p w14:paraId="441CF5BF" w14:textId="77777777" w:rsidR="000856FA" w:rsidRPr="00CA504F" w:rsidRDefault="000856FA" w:rsidP="00F66AA9">
            <w:pPr>
              <w:spacing w:before="60" w:after="60" w:line="360" w:lineRule="auto"/>
              <w:jc w:val="center"/>
              <w:rPr>
                <w:rFonts w:ascii="Times New Roman" w:hAnsi="Times New Roman"/>
                <w:sz w:val="24"/>
                <w:szCs w:val="28"/>
              </w:rPr>
            </w:pPr>
            <w:r w:rsidRPr="00CA504F">
              <w:rPr>
                <w:rFonts w:ascii="Times New Roman" w:hAnsi="Times New Roman"/>
                <w:sz w:val="24"/>
                <w:szCs w:val="28"/>
              </w:rPr>
              <w:t>2020</w:t>
            </w:r>
          </w:p>
        </w:tc>
        <w:tc>
          <w:tcPr>
            <w:tcW w:w="1778" w:type="dxa"/>
            <w:tcBorders>
              <w:top w:val="single" w:sz="4" w:space="0" w:color="000000"/>
              <w:left w:val="single" w:sz="4" w:space="0" w:color="000000"/>
              <w:right w:val="single" w:sz="4" w:space="0" w:color="000000"/>
            </w:tcBorders>
            <w:shd w:val="clear" w:color="auto" w:fill="auto"/>
          </w:tcPr>
          <w:p w14:paraId="260C88D7" w14:textId="77777777" w:rsidR="000856FA" w:rsidRPr="00CA504F" w:rsidRDefault="000856FA" w:rsidP="00F66AA9">
            <w:pPr>
              <w:spacing w:before="60" w:after="60" w:line="360" w:lineRule="auto"/>
              <w:jc w:val="center"/>
              <w:rPr>
                <w:rFonts w:ascii="Times New Roman" w:eastAsia="Times New Roman" w:hAnsi="Times New Roman"/>
                <w:b/>
                <w:sz w:val="24"/>
                <w:szCs w:val="28"/>
              </w:rPr>
            </w:pPr>
            <w:r w:rsidRPr="00CA504F">
              <w:rPr>
                <w:rFonts w:ascii="Times New Roman" w:hAnsi="Times New Roman"/>
                <w:sz w:val="24"/>
                <w:szCs w:val="28"/>
              </w:rPr>
              <w:t>34.53</w:t>
            </w:r>
          </w:p>
        </w:tc>
        <w:tc>
          <w:tcPr>
            <w:tcW w:w="1781" w:type="dxa"/>
            <w:tcBorders>
              <w:top w:val="single" w:sz="4" w:space="0" w:color="000000"/>
              <w:left w:val="nil"/>
              <w:right w:val="single" w:sz="4" w:space="0" w:color="000000"/>
            </w:tcBorders>
            <w:shd w:val="clear" w:color="auto" w:fill="auto"/>
          </w:tcPr>
          <w:p w14:paraId="49EA5B86" w14:textId="77777777" w:rsidR="000856FA" w:rsidRPr="00CA504F" w:rsidRDefault="000856FA" w:rsidP="00F66AA9">
            <w:pPr>
              <w:spacing w:before="60" w:after="60" w:line="360" w:lineRule="auto"/>
              <w:jc w:val="center"/>
              <w:rPr>
                <w:rFonts w:ascii="Times New Roman" w:eastAsia="Times New Roman" w:hAnsi="Times New Roman"/>
                <w:sz w:val="24"/>
                <w:szCs w:val="28"/>
              </w:rPr>
            </w:pPr>
            <w:r w:rsidRPr="00CA504F">
              <w:rPr>
                <w:rFonts w:ascii="Times New Roman" w:hAnsi="Times New Roman"/>
                <w:sz w:val="24"/>
                <w:szCs w:val="28"/>
              </w:rPr>
              <w:t>32.89</w:t>
            </w:r>
          </w:p>
        </w:tc>
        <w:tc>
          <w:tcPr>
            <w:tcW w:w="1777" w:type="dxa"/>
            <w:tcBorders>
              <w:top w:val="single" w:sz="4" w:space="0" w:color="000000"/>
              <w:left w:val="single" w:sz="4" w:space="0" w:color="000000"/>
              <w:right w:val="single" w:sz="4" w:space="0" w:color="000000"/>
            </w:tcBorders>
            <w:shd w:val="clear" w:color="auto" w:fill="auto"/>
          </w:tcPr>
          <w:p w14:paraId="3EC5FF18" w14:textId="77777777" w:rsidR="000856FA" w:rsidRPr="00CA504F" w:rsidRDefault="000856FA" w:rsidP="00F66AA9">
            <w:pPr>
              <w:spacing w:before="60" w:after="60" w:line="360" w:lineRule="auto"/>
              <w:jc w:val="center"/>
              <w:rPr>
                <w:rFonts w:ascii="Times New Roman" w:eastAsia="Times New Roman" w:hAnsi="Times New Roman"/>
                <w:b/>
                <w:sz w:val="24"/>
                <w:szCs w:val="28"/>
              </w:rPr>
            </w:pPr>
            <w:r w:rsidRPr="00CA504F">
              <w:rPr>
                <w:rFonts w:ascii="Times New Roman" w:hAnsi="Times New Roman"/>
                <w:sz w:val="24"/>
                <w:szCs w:val="28"/>
              </w:rPr>
              <w:t>4.58</w:t>
            </w:r>
          </w:p>
        </w:tc>
        <w:tc>
          <w:tcPr>
            <w:tcW w:w="2223" w:type="dxa"/>
            <w:tcBorders>
              <w:top w:val="single" w:sz="4" w:space="0" w:color="000000"/>
              <w:left w:val="nil"/>
              <w:right w:val="single" w:sz="4" w:space="0" w:color="000000"/>
            </w:tcBorders>
            <w:shd w:val="clear" w:color="auto" w:fill="auto"/>
          </w:tcPr>
          <w:p w14:paraId="4CD80646" w14:textId="77777777" w:rsidR="000856FA" w:rsidRPr="00CA504F" w:rsidRDefault="000856FA" w:rsidP="00F66AA9">
            <w:pPr>
              <w:spacing w:before="60" w:after="60" w:line="360" w:lineRule="auto"/>
              <w:jc w:val="center"/>
              <w:rPr>
                <w:rFonts w:ascii="Times New Roman" w:eastAsia="Times New Roman" w:hAnsi="Times New Roman"/>
                <w:b/>
                <w:sz w:val="24"/>
                <w:szCs w:val="28"/>
              </w:rPr>
            </w:pPr>
            <w:r w:rsidRPr="00CA504F">
              <w:rPr>
                <w:rFonts w:ascii="Times New Roman" w:hAnsi="Times New Roman"/>
                <w:sz w:val="24"/>
                <w:szCs w:val="28"/>
              </w:rPr>
              <w:t>4.6</w:t>
            </w:r>
          </w:p>
        </w:tc>
      </w:tr>
    </w:tbl>
    <w:p w14:paraId="33FCAB75" w14:textId="77777777" w:rsidR="000856FA" w:rsidRPr="00CA504F" w:rsidRDefault="000856FA" w:rsidP="000856FA">
      <w:pPr>
        <w:pStyle w:val="1"/>
        <w:spacing w:after="60"/>
        <w:jc w:val="right"/>
        <w:rPr>
          <w:b w:val="0"/>
          <w:i/>
          <w:sz w:val="24"/>
          <w:szCs w:val="28"/>
        </w:rPr>
      </w:pPr>
      <w:r w:rsidRPr="00CA504F">
        <w:rPr>
          <w:b w:val="0"/>
          <w:i/>
          <w:sz w:val="24"/>
          <w:szCs w:val="28"/>
        </w:rPr>
        <w:t>(Nguồn: Hệ thống quản lý chính sách TCS)</w:t>
      </w:r>
    </w:p>
    <w:p w14:paraId="4F8D571A" w14:textId="62804E81" w:rsidR="002B7410" w:rsidRPr="00CA504F" w:rsidRDefault="000856FA" w:rsidP="00F66AA9">
      <w:pPr>
        <w:pStyle w:val="1"/>
        <w:spacing w:after="120" w:line="276" w:lineRule="auto"/>
        <w:ind w:firstLine="709"/>
        <w:jc w:val="both"/>
      </w:pPr>
      <w:r w:rsidRPr="00CA504F">
        <w:rPr>
          <w:b w:val="0"/>
          <w:sz w:val="28"/>
          <w:szCs w:val="28"/>
        </w:rPr>
        <w:t>Bảng số liệu cho thấ</w:t>
      </w:r>
      <w:r w:rsidR="00545387">
        <w:rPr>
          <w:b w:val="0"/>
          <w:sz w:val="28"/>
          <w:szCs w:val="28"/>
        </w:rPr>
        <w:t xml:space="preserve">y </w:t>
      </w:r>
      <w:r w:rsidRPr="00CA504F">
        <w:rPr>
          <w:b w:val="0"/>
          <w:sz w:val="28"/>
          <w:szCs w:val="28"/>
        </w:rPr>
        <w:t>tuổi bình quân hưởng BHXH một lần của cả nam và nữ là thấp (trong đó nữ thấp hơn nam) và tổng thời gian đóng BHXH bình quân hưởng BHXH ngắn (nữ có thời gian tham gia bình quân ít hơn nam). Ngoài ra, xét theo nhóm tuổi hưởng BHXH một lần của năm 2021, ta có Bảng số liệu dưới đây</w:t>
      </w:r>
      <w:r w:rsidR="002B7410" w:rsidRPr="00CA504F">
        <w:rPr>
          <w:b w:val="0"/>
          <w:sz w:val="28"/>
          <w:szCs w:val="28"/>
        </w:rPr>
        <w:t>:</w:t>
      </w:r>
    </w:p>
    <w:p w14:paraId="7ADCE9F0" w14:textId="75CD7A68" w:rsidR="002B7410" w:rsidRPr="00CA504F" w:rsidRDefault="000856FA" w:rsidP="00BC202A">
      <w:pPr>
        <w:pStyle w:val="1"/>
        <w:spacing w:after="120" w:line="276" w:lineRule="auto"/>
        <w:ind w:firstLine="709"/>
        <w:rPr>
          <w:bCs/>
          <w:i/>
          <w:sz w:val="24"/>
          <w:szCs w:val="28"/>
        </w:rPr>
      </w:pPr>
      <w:r w:rsidRPr="00CA504F">
        <w:rPr>
          <w:bCs/>
          <w:sz w:val="24"/>
          <w:szCs w:val="28"/>
        </w:rPr>
        <w:t xml:space="preserve">Bảng </w:t>
      </w:r>
      <w:r w:rsidR="00CA504F" w:rsidRPr="00CA504F">
        <w:rPr>
          <w:bCs/>
          <w:sz w:val="24"/>
          <w:szCs w:val="28"/>
        </w:rPr>
        <w:t>8</w:t>
      </w:r>
      <w:r w:rsidRPr="00CA504F">
        <w:rPr>
          <w:bCs/>
          <w:sz w:val="24"/>
          <w:szCs w:val="28"/>
        </w:rPr>
        <w:t>: Số người hưởng BHXH một lần theo độ tuổi</w:t>
      </w:r>
    </w:p>
    <w:p w14:paraId="2299B0DE" w14:textId="00E56193" w:rsidR="000856FA" w:rsidRPr="00CA504F" w:rsidRDefault="000856FA" w:rsidP="000856FA">
      <w:pPr>
        <w:pStyle w:val="1"/>
        <w:spacing w:after="0" w:line="240" w:lineRule="auto"/>
        <w:ind w:firstLine="709"/>
        <w:jc w:val="right"/>
        <w:rPr>
          <w:sz w:val="24"/>
          <w:szCs w:val="28"/>
        </w:rPr>
      </w:pPr>
      <w:r w:rsidRPr="00CA504F">
        <w:rPr>
          <w:b w:val="0"/>
          <w:i/>
          <w:sz w:val="24"/>
          <w:szCs w:val="28"/>
        </w:rPr>
        <w:t>Đvt: người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134"/>
        <w:gridCol w:w="1134"/>
        <w:gridCol w:w="1134"/>
        <w:gridCol w:w="1134"/>
        <w:gridCol w:w="1276"/>
        <w:gridCol w:w="1134"/>
      </w:tblGrid>
      <w:tr w:rsidR="00CA504F" w:rsidRPr="00CA504F" w14:paraId="407A56A6" w14:textId="77777777" w:rsidTr="000856FA">
        <w:tc>
          <w:tcPr>
            <w:tcW w:w="1838" w:type="dxa"/>
            <w:tcBorders>
              <w:bottom w:val="single" w:sz="4" w:space="0" w:color="auto"/>
            </w:tcBorders>
            <w:shd w:val="clear" w:color="auto" w:fill="auto"/>
          </w:tcPr>
          <w:p w14:paraId="7D22EC8B" w14:textId="77777777" w:rsidR="000856FA" w:rsidRPr="00CA504F" w:rsidRDefault="000856FA" w:rsidP="000856FA">
            <w:pPr>
              <w:pStyle w:val="1"/>
              <w:spacing w:before="60" w:after="60" w:line="276" w:lineRule="auto"/>
              <w:rPr>
                <w:sz w:val="24"/>
                <w:szCs w:val="24"/>
              </w:rPr>
            </w:pPr>
            <w:r w:rsidRPr="00CA504F">
              <w:rPr>
                <w:sz w:val="24"/>
                <w:szCs w:val="24"/>
              </w:rPr>
              <w:t>Năm</w:t>
            </w:r>
          </w:p>
        </w:tc>
        <w:tc>
          <w:tcPr>
            <w:tcW w:w="1134" w:type="dxa"/>
            <w:shd w:val="clear" w:color="auto" w:fill="auto"/>
          </w:tcPr>
          <w:p w14:paraId="3FD97DAB" w14:textId="77777777" w:rsidR="000856FA" w:rsidRPr="00CA504F" w:rsidRDefault="000856FA" w:rsidP="000856FA">
            <w:pPr>
              <w:pStyle w:val="1"/>
              <w:spacing w:before="60" w:after="60" w:line="276" w:lineRule="auto"/>
              <w:rPr>
                <w:sz w:val="24"/>
                <w:szCs w:val="24"/>
              </w:rPr>
            </w:pPr>
            <w:r w:rsidRPr="00CA504F">
              <w:rPr>
                <w:sz w:val="24"/>
                <w:szCs w:val="24"/>
              </w:rPr>
              <w:t>2016</w:t>
            </w:r>
          </w:p>
        </w:tc>
        <w:tc>
          <w:tcPr>
            <w:tcW w:w="1134" w:type="dxa"/>
            <w:shd w:val="clear" w:color="auto" w:fill="auto"/>
          </w:tcPr>
          <w:p w14:paraId="15B6D5A0" w14:textId="77777777" w:rsidR="000856FA" w:rsidRPr="00CA504F" w:rsidRDefault="000856FA" w:rsidP="000856FA">
            <w:pPr>
              <w:pStyle w:val="1"/>
              <w:spacing w:before="60" w:after="60" w:line="276" w:lineRule="auto"/>
              <w:rPr>
                <w:sz w:val="24"/>
                <w:szCs w:val="24"/>
              </w:rPr>
            </w:pPr>
            <w:r w:rsidRPr="00CA504F">
              <w:rPr>
                <w:sz w:val="24"/>
                <w:szCs w:val="24"/>
              </w:rPr>
              <w:t>2017</w:t>
            </w:r>
          </w:p>
        </w:tc>
        <w:tc>
          <w:tcPr>
            <w:tcW w:w="1134" w:type="dxa"/>
            <w:shd w:val="clear" w:color="auto" w:fill="auto"/>
          </w:tcPr>
          <w:p w14:paraId="222E2010" w14:textId="77777777" w:rsidR="000856FA" w:rsidRPr="00CA504F" w:rsidRDefault="000856FA" w:rsidP="000856FA">
            <w:pPr>
              <w:pStyle w:val="1"/>
              <w:spacing w:before="60" w:after="60" w:line="276" w:lineRule="auto"/>
              <w:rPr>
                <w:sz w:val="24"/>
                <w:szCs w:val="24"/>
              </w:rPr>
            </w:pPr>
            <w:r w:rsidRPr="00CA504F">
              <w:rPr>
                <w:sz w:val="24"/>
                <w:szCs w:val="24"/>
              </w:rPr>
              <w:t>2018</w:t>
            </w:r>
          </w:p>
        </w:tc>
        <w:tc>
          <w:tcPr>
            <w:tcW w:w="1134" w:type="dxa"/>
            <w:shd w:val="clear" w:color="auto" w:fill="auto"/>
          </w:tcPr>
          <w:p w14:paraId="5E90BD7C" w14:textId="77777777" w:rsidR="000856FA" w:rsidRPr="00CA504F" w:rsidRDefault="000856FA" w:rsidP="000856FA">
            <w:pPr>
              <w:pStyle w:val="1"/>
              <w:spacing w:before="60" w:after="60" w:line="276" w:lineRule="auto"/>
              <w:rPr>
                <w:sz w:val="24"/>
                <w:szCs w:val="24"/>
              </w:rPr>
            </w:pPr>
            <w:r w:rsidRPr="00CA504F">
              <w:rPr>
                <w:sz w:val="24"/>
                <w:szCs w:val="24"/>
              </w:rPr>
              <w:t>2019</w:t>
            </w:r>
          </w:p>
        </w:tc>
        <w:tc>
          <w:tcPr>
            <w:tcW w:w="1134" w:type="dxa"/>
            <w:shd w:val="clear" w:color="auto" w:fill="auto"/>
          </w:tcPr>
          <w:p w14:paraId="71C2164F" w14:textId="77777777" w:rsidR="000856FA" w:rsidRPr="00CA504F" w:rsidRDefault="000856FA" w:rsidP="000856FA">
            <w:pPr>
              <w:pStyle w:val="1"/>
              <w:spacing w:before="60" w:after="60" w:line="276" w:lineRule="auto"/>
              <w:rPr>
                <w:sz w:val="24"/>
                <w:szCs w:val="24"/>
              </w:rPr>
            </w:pPr>
            <w:r w:rsidRPr="00CA504F">
              <w:rPr>
                <w:sz w:val="24"/>
                <w:szCs w:val="24"/>
              </w:rPr>
              <w:t>2020</w:t>
            </w:r>
          </w:p>
        </w:tc>
        <w:tc>
          <w:tcPr>
            <w:tcW w:w="1276" w:type="dxa"/>
          </w:tcPr>
          <w:p w14:paraId="3DDED3DA" w14:textId="77777777" w:rsidR="000856FA" w:rsidRPr="00CA504F" w:rsidRDefault="000856FA" w:rsidP="000856FA">
            <w:pPr>
              <w:pStyle w:val="1"/>
              <w:spacing w:before="60" w:after="60" w:line="276" w:lineRule="auto"/>
              <w:rPr>
                <w:sz w:val="24"/>
                <w:szCs w:val="24"/>
              </w:rPr>
            </w:pPr>
            <w:r w:rsidRPr="00CA504F">
              <w:rPr>
                <w:sz w:val="24"/>
                <w:szCs w:val="24"/>
              </w:rPr>
              <w:t>2021</w:t>
            </w:r>
          </w:p>
        </w:tc>
        <w:tc>
          <w:tcPr>
            <w:tcW w:w="1134" w:type="dxa"/>
            <w:vMerge w:val="restart"/>
          </w:tcPr>
          <w:p w14:paraId="2872357A" w14:textId="77777777" w:rsidR="000856FA" w:rsidRPr="00CA504F" w:rsidRDefault="000856FA" w:rsidP="000856FA">
            <w:pPr>
              <w:pStyle w:val="1"/>
              <w:spacing w:before="60" w:after="60" w:line="276" w:lineRule="auto"/>
              <w:rPr>
                <w:sz w:val="24"/>
                <w:szCs w:val="24"/>
              </w:rPr>
            </w:pPr>
            <w:r w:rsidRPr="00CA504F">
              <w:rPr>
                <w:sz w:val="24"/>
                <w:szCs w:val="24"/>
              </w:rPr>
              <w:t>Thời gian đóng BHXH bình quân (năm)</w:t>
            </w:r>
          </w:p>
        </w:tc>
      </w:tr>
      <w:tr w:rsidR="00CA504F" w:rsidRPr="00CA504F" w14:paraId="0C5224D5" w14:textId="77777777" w:rsidTr="000856FA">
        <w:trPr>
          <w:trHeight w:val="1211"/>
        </w:trPr>
        <w:tc>
          <w:tcPr>
            <w:tcW w:w="1838" w:type="dxa"/>
            <w:tcBorders>
              <w:tl2br w:val="single" w:sz="4" w:space="0" w:color="auto"/>
            </w:tcBorders>
            <w:shd w:val="clear" w:color="auto" w:fill="auto"/>
          </w:tcPr>
          <w:p w14:paraId="305AE32A" w14:textId="77777777" w:rsidR="000856FA" w:rsidRPr="00CA504F" w:rsidRDefault="000856FA" w:rsidP="000856FA">
            <w:pPr>
              <w:pStyle w:val="1"/>
              <w:spacing w:before="60" w:after="60" w:line="276" w:lineRule="auto"/>
              <w:jc w:val="right"/>
              <w:rPr>
                <w:sz w:val="24"/>
                <w:szCs w:val="24"/>
              </w:rPr>
            </w:pPr>
            <w:r w:rsidRPr="00CA504F">
              <w:rPr>
                <w:sz w:val="24"/>
                <w:szCs w:val="24"/>
              </w:rPr>
              <w:t>Tổng số người hưởng</w:t>
            </w:r>
          </w:p>
          <w:p w14:paraId="144AF4D1" w14:textId="77777777" w:rsidR="002B7410" w:rsidRPr="00CA504F" w:rsidRDefault="002B7410" w:rsidP="000856FA">
            <w:pPr>
              <w:pStyle w:val="1"/>
              <w:spacing w:before="60" w:after="60" w:line="276" w:lineRule="auto"/>
              <w:jc w:val="left"/>
              <w:rPr>
                <w:sz w:val="24"/>
                <w:szCs w:val="24"/>
              </w:rPr>
            </w:pPr>
          </w:p>
          <w:p w14:paraId="29C99953" w14:textId="08A3F06B" w:rsidR="000856FA" w:rsidRPr="00CA504F" w:rsidRDefault="000856FA" w:rsidP="000856FA">
            <w:pPr>
              <w:pStyle w:val="1"/>
              <w:spacing w:before="60" w:after="60" w:line="276" w:lineRule="auto"/>
              <w:jc w:val="left"/>
              <w:rPr>
                <w:sz w:val="24"/>
                <w:szCs w:val="24"/>
              </w:rPr>
            </w:pPr>
            <w:r w:rsidRPr="00CA504F">
              <w:rPr>
                <w:sz w:val="24"/>
                <w:szCs w:val="24"/>
              </w:rPr>
              <w:t>Độ tuổi</w:t>
            </w:r>
          </w:p>
        </w:tc>
        <w:tc>
          <w:tcPr>
            <w:tcW w:w="1134" w:type="dxa"/>
            <w:tcBorders>
              <w:bottom w:val="single" w:sz="4" w:space="0" w:color="auto"/>
            </w:tcBorders>
            <w:shd w:val="clear" w:color="auto" w:fill="auto"/>
            <w:vAlign w:val="center"/>
          </w:tcPr>
          <w:p w14:paraId="360BE18A" w14:textId="77777777" w:rsidR="000856FA" w:rsidRPr="00CA504F" w:rsidRDefault="000856FA" w:rsidP="000856FA">
            <w:pPr>
              <w:pStyle w:val="1"/>
              <w:spacing w:before="60" w:after="60" w:line="276" w:lineRule="auto"/>
              <w:jc w:val="right"/>
              <w:rPr>
                <w:sz w:val="24"/>
                <w:szCs w:val="24"/>
              </w:rPr>
            </w:pPr>
            <w:r w:rsidRPr="00CA504F">
              <w:rPr>
                <w:bCs/>
                <w:sz w:val="24"/>
                <w:szCs w:val="24"/>
              </w:rPr>
              <w:t>619.716</w:t>
            </w:r>
          </w:p>
        </w:tc>
        <w:tc>
          <w:tcPr>
            <w:tcW w:w="1134" w:type="dxa"/>
            <w:tcBorders>
              <w:bottom w:val="single" w:sz="4" w:space="0" w:color="auto"/>
            </w:tcBorders>
            <w:shd w:val="clear" w:color="auto" w:fill="auto"/>
            <w:vAlign w:val="center"/>
          </w:tcPr>
          <w:p w14:paraId="00D8438D" w14:textId="77777777" w:rsidR="000856FA" w:rsidRPr="00CA504F" w:rsidRDefault="000856FA" w:rsidP="000856FA">
            <w:pPr>
              <w:pStyle w:val="1"/>
              <w:spacing w:before="60" w:after="60" w:line="276" w:lineRule="auto"/>
              <w:jc w:val="right"/>
              <w:rPr>
                <w:sz w:val="24"/>
                <w:szCs w:val="24"/>
              </w:rPr>
            </w:pPr>
            <w:r w:rsidRPr="00CA504F">
              <w:rPr>
                <w:bCs/>
                <w:sz w:val="24"/>
                <w:szCs w:val="24"/>
              </w:rPr>
              <w:t>666.955</w:t>
            </w:r>
          </w:p>
        </w:tc>
        <w:tc>
          <w:tcPr>
            <w:tcW w:w="1134" w:type="dxa"/>
            <w:tcBorders>
              <w:bottom w:val="single" w:sz="4" w:space="0" w:color="auto"/>
            </w:tcBorders>
            <w:shd w:val="clear" w:color="auto" w:fill="auto"/>
            <w:vAlign w:val="center"/>
          </w:tcPr>
          <w:p w14:paraId="03A43897" w14:textId="77777777" w:rsidR="000856FA" w:rsidRPr="00CA504F" w:rsidRDefault="000856FA" w:rsidP="000856FA">
            <w:pPr>
              <w:pStyle w:val="1"/>
              <w:spacing w:before="60" w:after="60" w:line="276" w:lineRule="auto"/>
              <w:jc w:val="right"/>
              <w:rPr>
                <w:sz w:val="24"/>
                <w:szCs w:val="24"/>
              </w:rPr>
            </w:pPr>
            <w:r w:rsidRPr="00CA504F">
              <w:rPr>
                <w:bCs/>
                <w:sz w:val="24"/>
                <w:szCs w:val="24"/>
              </w:rPr>
              <w:t>762.386</w:t>
            </w:r>
          </w:p>
        </w:tc>
        <w:tc>
          <w:tcPr>
            <w:tcW w:w="1134" w:type="dxa"/>
            <w:tcBorders>
              <w:bottom w:val="single" w:sz="4" w:space="0" w:color="auto"/>
            </w:tcBorders>
            <w:shd w:val="clear" w:color="auto" w:fill="auto"/>
            <w:vAlign w:val="center"/>
          </w:tcPr>
          <w:p w14:paraId="4E1BAD75" w14:textId="77777777" w:rsidR="000856FA" w:rsidRPr="00CA504F" w:rsidRDefault="000856FA" w:rsidP="000856FA">
            <w:pPr>
              <w:pStyle w:val="1"/>
              <w:spacing w:before="60" w:after="60" w:line="276" w:lineRule="auto"/>
              <w:jc w:val="right"/>
              <w:rPr>
                <w:sz w:val="24"/>
                <w:szCs w:val="24"/>
              </w:rPr>
            </w:pPr>
            <w:r w:rsidRPr="00CA504F">
              <w:rPr>
                <w:bCs/>
                <w:sz w:val="24"/>
                <w:szCs w:val="24"/>
              </w:rPr>
              <w:t>807.089</w:t>
            </w:r>
          </w:p>
        </w:tc>
        <w:tc>
          <w:tcPr>
            <w:tcW w:w="1134" w:type="dxa"/>
            <w:tcBorders>
              <w:bottom w:val="single" w:sz="4" w:space="0" w:color="auto"/>
            </w:tcBorders>
            <w:shd w:val="clear" w:color="auto" w:fill="auto"/>
            <w:vAlign w:val="center"/>
          </w:tcPr>
          <w:p w14:paraId="16DA341C" w14:textId="77777777" w:rsidR="000856FA" w:rsidRPr="00CA504F" w:rsidRDefault="000856FA" w:rsidP="000856FA">
            <w:pPr>
              <w:pStyle w:val="1"/>
              <w:spacing w:before="60" w:after="60" w:line="276" w:lineRule="auto"/>
              <w:jc w:val="right"/>
              <w:rPr>
                <w:sz w:val="24"/>
                <w:szCs w:val="24"/>
              </w:rPr>
            </w:pPr>
            <w:r w:rsidRPr="00CA504F">
              <w:rPr>
                <w:bCs/>
                <w:sz w:val="24"/>
                <w:szCs w:val="24"/>
              </w:rPr>
              <w:t>860.741</w:t>
            </w:r>
          </w:p>
        </w:tc>
        <w:tc>
          <w:tcPr>
            <w:tcW w:w="1276" w:type="dxa"/>
            <w:tcBorders>
              <w:bottom w:val="single" w:sz="4" w:space="0" w:color="auto"/>
            </w:tcBorders>
            <w:vAlign w:val="center"/>
          </w:tcPr>
          <w:p w14:paraId="4C0DDF27" w14:textId="77777777" w:rsidR="000856FA" w:rsidRPr="00CA504F" w:rsidRDefault="000856FA" w:rsidP="000856FA">
            <w:pPr>
              <w:pStyle w:val="1"/>
              <w:spacing w:before="60" w:after="60" w:line="276" w:lineRule="auto"/>
              <w:rPr>
                <w:b w:val="0"/>
                <w:sz w:val="24"/>
                <w:szCs w:val="24"/>
              </w:rPr>
            </w:pPr>
            <w:r w:rsidRPr="00CA504F">
              <w:rPr>
                <w:rFonts w:eastAsia="Times New Roman"/>
                <w:sz w:val="24"/>
                <w:szCs w:val="24"/>
              </w:rPr>
              <w:t>863.446</w:t>
            </w:r>
          </w:p>
        </w:tc>
        <w:tc>
          <w:tcPr>
            <w:tcW w:w="1134" w:type="dxa"/>
            <w:vMerge/>
            <w:tcBorders>
              <w:bottom w:val="single" w:sz="4" w:space="0" w:color="auto"/>
            </w:tcBorders>
          </w:tcPr>
          <w:p w14:paraId="4B36B1DC" w14:textId="77777777" w:rsidR="000856FA" w:rsidRPr="00CA504F" w:rsidRDefault="000856FA" w:rsidP="000856FA">
            <w:pPr>
              <w:pStyle w:val="1"/>
              <w:spacing w:before="60" w:after="60" w:line="276" w:lineRule="auto"/>
              <w:jc w:val="right"/>
              <w:rPr>
                <w:b w:val="0"/>
                <w:sz w:val="24"/>
                <w:szCs w:val="24"/>
              </w:rPr>
            </w:pPr>
          </w:p>
        </w:tc>
      </w:tr>
      <w:tr w:rsidR="00CA504F" w:rsidRPr="00CA504F" w14:paraId="1CA7D467" w14:textId="77777777" w:rsidTr="000856FA">
        <w:tc>
          <w:tcPr>
            <w:tcW w:w="1838" w:type="dxa"/>
            <w:shd w:val="clear" w:color="auto" w:fill="auto"/>
          </w:tcPr>
          <w:p w14:paraId="465BC609" w14:textId="77777777" w:rsidR="000856FA" w:rsidRPr="00CA504F" w:rsidRDefault="000856FA" w:rsidP="000856FA">
            <w:pPr>
              <w:pStyle w:val="1"/>
              <w:spacing w:before="60" w:after="60" w:line="276" w:lineRule="auto"/>
              <w:jc w:val="both"/>
              <w:rPr>
                <w:b w:val="0"/>
                <w:sz w:val="24"/>
                <w:szCs w:val="24"/>
              </w:rPr>
            </w:pPr>
            <w:r w:rsidRPr="00CA504F">
              <w:rPr>
                <w:b w:val="0"/>
                <w:sz w:val="24"/>
                <w:szCs w:val="24"/>
              </w:rPr>
              <w:t>Dưới 20 tuổi</w:t>
            </w:r>
          </w:p>
        </w:tc>
        <w:tc>
          <w:tcPr>
            <w:tcW w:w="1134" w:type="dxa"/>
            <w:tcBorders>
              <w:right w:val="single" w:sz="4" w:space="0" w:color="auto"/>
            </w:tcBorders>
            <w:shd w:val="clear" w:color="auto" w:fill="auto"/>
            <w:vAlign w:val="center"/>
          </w:tcPr>
          <w:p w14:paraId="49C92C1F"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2.138</w:t>
            </w:r>
          </w:p>
        </w:tc>
        <w:tc>
          <w:tcPr>
            <w:tcW w:w="1134" w:type="dxa"/>
            <w:tcBorders>
              <w:left w:val="single" w:sz="4" w:space="0" w:color="auto"/>
              <w:right w:val="single" w:sz="4" w:space="0" w:color="auto"/>
            </w:tcBorders>
            <w:shd w:val="clear" w:color="auto" w:fill="auto"/>
            <w:vAlign w:val="center"/>
          </w:tcPr>
          <w:p w14:paraId="45AE8DD5" w14:textId="77777777" w:rsidR="000856FA" w:rsidRPr="00CA504F" w:rsidRDefault="000856FA" w:rsidP="000856FA">
            <w:pPr>
              <w:pStyle w:val="1"/>
              <w:spacing w:before="60" w:after="60" w:line="276" w:lineRule="auto"/>
              <w:rPr>
                <w:b w:val="0"/>
                <w:sz w:val="24"/>
                <w:szCs w:val="24"/>
              </w:rPr>
            </w:pPr>
            <w:r w:rsidRPr="00CA504F">
              <w:rPr>
                <w:b w:val="0"/>
                <w:sz w:val="24"/>
                <w:szCs w:val="24"/>
              </w:rPr>
              <w:t>1.719</w:t>
            </w:r>
          </w:p>
        </w:tc>
        <w:tc>
          <w:tcPr>
            <w:tcW w:w="1134" w:type="dxa"/>
            <w:tcBorders>
              <w:left w:val="single" w:sz="4" w:space="0" w:color="auto"/>
              <w:right w:val="single" w:sz="4" w:space="0" w:color="auto"/>
            </w:tcBorders>
            <w:shd w:val="clear" w:color="auto" w:fill="auto"/>
            <w:vAlign w:val="center"/>
          </w:tcPr>
          <w:p w14:paraId="548405C9"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1.569</w:t>
            </w:r>
          </w:p>
        </w:tc>
        <w:tc>
          <w:tcPr>
            <w:tcW w:w="1134" w:type="dxa"/>
            <w:tcBorders>
              <w:left w:val="single" w:sz="4" w:space="0" w:color="auto"/>
              <w:right w:val="single" w:sz="4" w:space="0" w:color="auto"/>
            </w:tcBorders>
            <w:shd w:val="clear" w:color="auto" w:fill="auto"/>
            <w:vAlign w:val="center"/>
          </w:tcPr>
          <w:p w14:paraId="67DECEF4"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1.645</w:t>
            </w:r>
          </w:p>
        </w:tc>
        <w:tc>
          <w:tcPr>
            <w:tcW w:w="1134" w:type="dxa"/>
            <w:tcBorders>
              <w:left w:val="single" w:sz="4" w:space="0" w:color="auto"/>
              <w:right w:val="single" w:sz="4" w:space="0" w:color="auto"/>
            </w:tcBorders>
            <w:shd w:val="clear" w:color="auto" w:fill="auto"/>
            <w:vAlign w:val="center"/>
          </w:tcPr>
          <w:p w14:paraId="69B645CC"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2.238</w:t>
            </w:r>
          </w:p>
        </w:tc>
        <w:tc>
          <w:tcPr>
            <w:tcW w:w="1276" w:type="dxa"/>
            <w:tcBorders>
              <w:left w:val="single" w:sz="4" w:space="0" w:color="auto"/>
              <w:right w:val="single" w:sz="4" w:space="0" w:color="auto"/>
            </w:tcBorders>
            <w:vAlign w:val="center"/>
          </w:tcPr>
          <w:p w14:paraId="10A0972D" w14:textId="77777777" w:rsidR="000856FA" w:rsidRPr="00CA504F" w:rsidRDefault="000856FA" w:rsidP="000856FA">
            <w:pPr>
              <w:spacing w:before="60" w:after="60"/>
              <w:jc w:val="center"/>
              <w:rPr>
                <w:rFonts w:ascii="Times New Roman" w:hAnsi="Times New Roman"/>
                <w:b/>
                <w:sz w:val="24"/>
                <w:szCs w:val="24"/>
              </w:rPr>
            </w:pPr>
            <w:r w:rsidRPr="00CA504F">
              <w:rPr>
                <w:rFonts w:ascii="Times New Roman" w:eastAsia="Times New Roman" w:hAnsi="Times New Roman"/>
                <w:sz w:val="24"/>
                <w:szCs w:val="24"/>
              </w:rPr>
              <w:t>2.176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D45AAF" w14:textId="77777777" w:rsidR="000856FA" w:rsidRPr="00CA504F" w:rsidRDefault="000856FA" w:rsidP="000856FA">
            <w:pPr>
              <w:spacing w:before="60" w:after="60"/>
              <w:jc w:val="center"/>
              <w:rPr>
                <w:rFonts w:ascii="Times New Roman" w:eastAsia="Times New Roman" w:hAnsi="Times New Roman"/>
                <w:b/>
                <w:sz w:val="24"/>
                <w:szCs w:val="24"/>
              </w:rPr>
            </w:pPr>
            <w:r w:rsidRPr="00CA504F">
              <w:rPr>
                <w:rFonts w:ascii="Times New Roman" w:hAnsi="Times New Roman"/>
                <w:b/>
                <w:sz w:val="24"/>
                <w:szCs w:val="24"/>
              </w:rPr>
              <w:t>1,04</w:t>
            </w:r>
          </w:p>
        </w:tc>
      </w:tr>
      <w:tr w:rsidR="00CA504F" w:rsidRPr="00CA504F" w14:paraId="008CCEA0" w14:textId="77777777" w:rsidTr="000856FA">
        <w:tc>
          <w:tcPr>
            <w:tcW w:w="1838" w:type="dxa"/>
            <w:shd w:val="clear" w:color="auto" w:fill="auto"/>
          </w:tcPr>
          <w:p w14:paraId="6D8C2B63" w14:textId="77777777" w:rsidR="000856FA" w:rsidRPr="00CA504F" w:rsidRDefault="000856FA" w:rsidP="000856FA">
            <w:pPr>
              <w:pStyle w:val="1"/>
              <w:spacing w:before="60" w:after="60" w:line="276" w:lineRule="auto"/>
              <w:jc w:val="both"/>
              <w:rPr>
                <w:b w:val="0"/>
                <w:sz w:val="24"/>
                <w:szCs w:val="24"/>
              </w:rPr>
            </w:pPr>
            <w:r w:rsidRPr="00CA504F">
              <w:rPr>
                <w:b w:val="0"/>
                <w:sz w:val="24"/>
                <w:szCs w:val="24"/>
              </w:rPr>
              <w:t>Từ trên 20 tuổi đến đủ 30 tuổi</w:t>
            </w:r>
          </w:p>
        </w:tc>
        <w:tc>
          <w:tcPr>
            <w:tcW w:w="1134" w:type="dxa"/>
            <w:tcBorders>
              <w:right w:val="single" w:sz="4" w:space="0" w:color="auto"/>
            </w:tcBorders>
            <w:shd w:val="clear" w:color="auto" w:fill="auto"/>
            <w:vAlign w:val="center"/>
          </w:tcPr>
          <w:p w14:paraId="3569691B"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286.676</w:t>
            </w:r>
          </w:p>
        </w:tc>
        <w:tc>
          <w:tcPr>
            <w:tcW w:w="1134" w:type="dxa"/>
            <w:tcBorders>
              <w:left w:val="single" w:sz="4" w:space="0" w:color="auto"/>
              <w:right w:val="single" w:sz="4" w:space="0" w:color="auto"/>
            </w:tcBorders>
            <w:shd w:val="clear" w:color="auto" w:fill="auto"/>
            <w:vAlign w:val="center"/>
          </w:tcPr>
          <w:p w14:paraId="27F1F944" w14:textId="77777777" w:rsidR="000856FA" w:rsidRPr="00CA504F" w:rsidRDefault="000856FA" w:rsidP="000856FA">
            <w:pPr>
              <w:pStyle w:val="1"/>
              <w:spacing w:before="60" w:after="60" w:line="276" w:lineRule="auto"/>
              <w:rPr>
                <w:b w:val="0"/>
                <w:sz w:val="24"/>
                <w:szCs w:val="24"/>
              </w:rPr>
            </w:pPr>
            <w:r w:rsidRPr="00CA504F">
              <w:rPr>
                <w:b w:val="0"/>
                <w:sz w:val="24"/>
                <w:szCs w:val="24"/>
              </w:rPr>
              <w:t>297.878</w:t>
            </w:r>
          </w:p>
        </w:tc>
        <w:tc>
          <w:tcPr>
            <w:tcW w:w="1134" w:type="dxa"/>
            <w:tcBorders>
              <w:left w:val="single" w:sz="4" w:space="0" w:color="auto"/>
              <w:right w:val="single" w:sz="4" w:space="0" w:color="auto"/>
            </w:tcBorders>
            <w:shd w:val="clear" w:color="auto" w:fill="auto"/>
            <w:vAlign w:val="center"/>
          </w:tcPr>
          <w:p w14:paraId="08F471FC"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324.418</w:t>
            </w:r>
          </w:p>
        </w:tc>
        <w:tc>
          <w:tcPr>
            <w:tcW w:w="1134" w:type="dxa"/>
            <w:tcBorders>
              <w:left w:val="single" w:sz="4" w:space="0" w:color="auto"/>
              <w:right w:val="single" w:sz="4" w:space="0" w:color="auto"/>
            </w:tcBorders>
            <w:shd w:val="clear" w:color="auto" w:fill="auto"/>
            <w:vAlign w:val="center"/>
          </w:tcPr>
          <w:p w14:paraId="24C58094"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335.793</w:t>
            </w:r>
          </w:p>
        </w:tc>
        <w:tc>
          <w:tcPr>
            <w:tcW w:w="1134" w:type="dxa"/>
            <w:tcBorders>
              <w:left w:val="single" w:sz="4" w:space="0" w:color="auto"/>
              <w:right w:val="single" w:sz="4" w:space="0" w:color="auto"/>
            </w:tcBorders>
            <w:shd w:val="clear" w:color="auto" w:fill="auto"/>
            <w:vAlign w:val="center"/>
          </w:tcPr>
          <w:p w14:paraId="47E271CD"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345.009</w:t>
            </w:r>
          </w:p>
        </w:tc>
        <w:tc>
          <w:tcPr>
            <w:tcW w:w="1276" w:type="dxa"/>
            <w:tcBorders>
              <w:left w:val="single" w:sz="4" w:space="0" w:color="auto"/>
              <w:right w:val="single" w:sz="4" w:space="0" w:color="auto"/>
            </w:tcBorders>
            <w:vAlign w:val="center"/>
          </w:tcPr>
          <w:p w14:paraId="55349C9D" w14:textId="77777777" w:rsidR="000856FA" w:rsidRPr="00CA504F" w:rsidRDefault="000856FA" w:rsidP="000856FA">
            <w:pPr>
              <w:spacing w:before="60" w:after="60"/>
              <w:jc w:val="center"/>
              <w:rPr>
                <w:rFonts w:ascii="Times New Roman" w:hAnsi="Times New Roman"/>
                <w:b/>
                <w:sz w:val="24"/>
                <w:szCs w:val="24"/>
              </w:rPr>
            </w:pPr>
            <w:r w:rsidRPr="00CA504F">
              <w:rPr>
                <w:rFonts w:ascii="Times New Roman" w:eastAsia="Times New Roman" w:hAnsi="Times New Roman"/>
                <w:sz w:val="24"/>
                <w:szCs w:val="24"/>
              </w:rPr>
              <w:t>320.070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91663" w14:textId="77777777" w:rsidR="000856FA" w:rsidRPr="00CA504F" w:rsidRDefault="000856FA" w:rsidP="000856FA">
            <w:pPr>
              <w:spacing w:before="60" w:after="60"/>
              <w:jc w:val="center"/>
              <w:rPr>
                <w:rFonts w:ascii="Times New Roman" w:hAnsi="Times New Roman"/>
                <w:b/>
                <w:sz w:val="24"/>
                <w:szCs w:val="24"/>
              </w:rPr>
            </w:pPr>
            <w:r w:rsidRPr="00CA504F">
              <w:rPr>
                <w:rFonts w:ascii="Times New Roman" w:hAnsi="Times New Roman"/>
                <w:b/>
                <w:sz w:val="24"/>
                <w:szCs w:val="24"/>
              </w:rPr>
              <w:t>2,84</w:t>
            </w:r>
          </w:p>
        </w:tc>
      </w:tr>
      <w:tr w:rsidR="00CA504F" w:rsidRPr="00CA504F" w14:paraId="758FCAA7" w14:textId="77777777" w:rsidTr="000856FA">
        <w:tc>
          <w:tcPr>
            <w:tcW w:w="1838" w:type="dxa"/>
            <w:shd w:val="clear" w:color="auto" w:fill="auto"/>
          </w:tcPr>
          <w:p w14:paraId="34DF90DD" w14:textId="77777777" w:rsidR="000856FA" w:rsidRPr="00CA504F" w:rsidRDefault="000856FA" w:rsidP="000856FA">
            <w:pPr>
              <w:pStyle w:val="1"/>
              <w:spacing w:before="60" w:after="60" w:line="276" w:lineRule="auto"/>
              <w:jc w:val="both"/>
              <w:rPr>
                <w:b w:val="0"/>
                <w:sz w:val="24"/>
                <w:szCs w:val="24"/>
              </w:rPr>
            </w:pPr>
            <w:r w:rsidRPr="00CA504F">
              <w:rPr>
                <w:b w:val="0"/>
                <w:sz w:val="24"/>
                <w:szCs w:val="24"/>
              </w:rPr>
              <w:t>Từ trên 30 tuổi đến đủ 40 tuổi</w:t>
            </w:r>
          </w:p>
        </w:tc>
        <w:tc>
          <w:tcPr>
            <w:tcW w:w="1134" w:type="dxa"/>
            <w:tcBorders>
              <w:right w:val="single" w:sz="4" w:space="0" w:color="auto"/>
            </w:tcBorders>
            <w:shd w:val="clear" w:color="auto" w:fill="auto"/>
            <w:vAlign w:val="center"/>
          </w:tcPr>
          <w:p w14:paraId="7FC545B9"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219.341</w:t>
            </w:r>
          </w:p>
        </w:tc>
        <w:tc>
          <w:tcPr>
            <w:tcW w:w="1134" w:type="dxa"/>
            <w:tcBorders>
              <w:left w:val="single" w:sz="4" w:space="0" w:color="auto"/>
              <w:right w:val="single" w:sz="4" w:space="0" w:color="auto"/>
            </w:tcBorders>
            <w:shd w:val="clear" w:color="auto" w:fill="auto"/>
            <w:vAlign w:val="center"/>
          </w:tcPr>
          <w:p w14:paraId="4E10D4F0" w14:textId="77777777" w:rsidR="000856FA" w:rsidRPr="00CA504F" w:rsidRDefault="000856FA" w:rsidP="000856FA">
            <w:pPr>
              <w:pStyle w:val="1"/>
              <w:spacing w:before="60" w:after="60" w:line="276" w:lineRule="auto"/>
              <w:rPr>
                <w:b w:val="0"/>
                <w:sz w:val="24"/>
                <w:szCs w:val="24"/>
              </w:rPr>
            </w:pPr>
            <w:r w:rsidRPr="00CA504F">
              <w:rPr>
                <w:b w:val="0"/>
                <w:sz w:val="24"/>
                <w:szCs w:val="24"/>
              </w:rPr>
              <w:t>246.303</w:t>
            </w:r>
          </w:p>
        </w:tc>
        <w:tc>
          <w:tcPr>
            <w:tcW w:w="1134" w:type="dxa"/>
            <w:tcBorders>
              <w:left w:val="single" w:sz="4" w:space="0" w:color="auto"/>
              <w:right w:val="single" w:sz="4" w:space="0" w:color="auto"/>
            </w:tcBorders>
            <w:shd w:val="clear" w:color="auto" w:fill="auto"/>
            <w:vAlign w:val="center"/>
          </w:tcPr>
          <w:p w14:paraId="76C5CDAE"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291.014</w:t>
            </w:r>
          </w:p>
        </w:tc>
        <w:tc>
          <w:tcPr>
            <w:tcW w:w="1134" w:type="dxa"/>
            <w:tcBorders>
              <w:left w:val="single" w:sz="4" w:space="0" w:color="auto"/>
              <w:right w:val="single" w:sz="4" w:space="0" w:color="auto"/>
            </w:tcBorders>
            <w:shd w:val="clear" w:color="auto" w:fill="auto"/>
            <w:vAlign w:val="center"/>
          </w:tcPr>
          <w:p w14:paraId="1D708BE4"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317.692</w:t>
            </w:r>
          </w:p>
        </w:tc>
        <w:tc>
          <w:tcPr>
            <w:tcW w:w="1134" w:type="dxa"/>
            <w:tcBorders>
              <w:left w:val="single" w:sz="4" w:space="0" w:color="auto"/>
              <w:right w:val="single" w:sz="4" w:space="0" w:color="auto"/>
            </w:tcBorders>
            <w:shd w:val="clear" w:color="auto" w:fill="auto"/>
            <w:vAlign w:val="center"/>
          </w:tcPr>
          <w:p w14:paraId="01B37117"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344.587</w:t>
            </w:r>
          </w:p>
        </w:tc>
        <w:tc>
          <w:tcPr>
            <w:tcW w:w="1276" w:type="dxa"/>
            <w:tcBorders>
              <w:left w:val="single" w:sz="4" w:space="0" w:color="auto"/>
              <w:right w:val="single" w:sz="4" w:space="0" w:color="auto"/>
            </w:tcBorders>
            <w:vAlign w:val="center"/>
          </w:tcPr>
          <w:p w14:paraId="5C0628DD" w14:textId="77777777" w:rsidR="000856FA" w:rsidRPr="00CA504F" w:rsidRDefault="000856FA" w:rsidP="000856FA">
            <w:pPr>
              <w:spacing w:before="60" w:after="60"/>
              <w:jc w:val="center"/>
              <w:rPr>
                <w:rFonts w:ascii="Times New Roman" w:hAnsi="Times New Roman"/>
                <w:b/>
                <w:sz w:val="24"/>
                <w:szCs w:val="24"/>
              </w:rPr>
            </w:pPr>
            <w:r w:rsidRPr="00CA504F">
              <w:rPr>
                <w:rFonts w:ascii="Times New Roman" w:eastAsia="Times New Roman" w:hAnsi="Times New Roman"/>
                <w:sz w:val="24"/>
                <w:szCs w:val="24"/>
              </w:rPr>
              <w:t>348.539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5A9840" w14:textId="77777777" w:rsidR="000856FA" w:rsidRPr="00CA504F" w:rsidRDefault="000856FA" w:rsidP="000856FA">
            <w:pPr>
              <w:spacing w:before="60" w:after="60"/>
              <w:jc w:val="center"/>
              <w:rPr>
                <w:rFonts w:ascii="Times New Roman" w:hAnsi="Times New Roman"/>
                <w:b/>
                <w:sz w:val="24"/>
                <w:szCs w:val="24"/>
              </w:rPr>
            </w:pPr>
            <w:r w:rsidRPr="00CA504F">
              <w:rPr>
                <w:rFonts w:ascii="Times New Roman" w:hAnsi="Times New Roman"/>
                <w:b/>
                <w:sz w:val="24"/>
                <w:szCs w:val="24"/>
              </w:rPr>
              <w:t>4,94</w:t>
            </w:r>
          </w:p>
        </w:tc>
      </w:tr>
      <w:tr w:rsidR="00CA504F" w:rsidRPr="00CA504F" w14:paraId="39F8F49D" w14:textId="77777777" w:rsidTr="000856FA">
        <w:tc>
          <w:tcPr>
            <w:tcW w:w="1838" w:type="dxa"/>
            <w:shd w:val="clear" w:color="auto" w:fill="auto"/>
          </w:tcPr>
          <w:p w14:paraId="285E6F2B" w14:textId="77777777" w:rsidR="000856FA" w:rsidRPr="00CA504F" w:rsidRDefault="000856FA" w:rsidP="000856FA">
            <w:pPr>
              <w:pStyle w:val="1"/>
              <w:spacing w:before="60" w:after="60" w:line="276" w:lineRule="auto"/>
              <w:jc w:val="both"/>
              <w:rPr>
                <w:b w:val="0"/>
                <w:sz w:val="24"/>
                <w:szCs w:val="24"/>
              </w:rPr>
            </w:pPr>
            <w:r w:rsidRPr="00CA504F">
              <w:rPr>
                <w:b w:val="0"/>
                <w:sz w:val="24"/>
                <w:szCs w:val="24"/>
              </w:rPr>
              <w:t>Từ trên 40 tuổi đến đủ 50 tuổi</w:t>
            </w:r>
          </w:p>
        </w:tc>
        <w:tc>
          <w:tcPr>
            <w:tcW w:w="1134" w:type="dxa"/>
            <w:tcBorders>
              <w:right w:val="single" w:sz="4" w:space="0" w:color="auto"/>
            </w:tcBorders>
            <w:shd w:val="clear" w:color="auto" w:fill="auto"/>
            <w:vAlign w:val="center"/>
          </w:tcPr>
          <w:p w14:paraId="49DB79E5"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76.156</w:t>
            </w:r>
          </w:p>
        </w:tc>
        <w:tc>
          <w:tcPr>
            <w:tcW w:w="1134" w:type="dxa"/>
            <w:tcBorders>
              <w:left w:val="single" w:sz="4" w:space="0" w:color="auto"/>
              <w:right w:val="single" w:sz="4" w:space="0" w:color="auto"/>
            </w:tcBorders>
            <w:shd w:val="clear" w:color="auto" w:fill="auto"/>
            <w:vAlign w:val="center"/>
          </w:tcPr>
          <w:p w14:paraId="03E025A7" w14:textId="77777777" w:rsidR="000856FA" w:rsidRPr="00CA504F" w:rsidRDefault="000856FA" w:rsidP="000856FA">
            <w:pPr>
              <w:pStyle w:val="1"/>
              <w:spacing w:before="60" w:after="60" w:line="276" w:lineRule="auto"/>
              <w:rPr>
                <w:b w:val="0"/>
                <w:sz w:val="24"/>
                <w:szCs w:val="24"/>
              </w:rPr>
            </w:pPr>
            <w:r w:rsidRPr="00CA504F">
              <w:rPr>
                <w:b w:val="0"/>
                <w:sz w:val="24"/>
                <w:szCs w:val="24"/>
              </w:rPr>
              <w:t>83.621</w:t>
            </w:r>
          </w:p>
        </w:tc>
        <w:tc>
          <w:tcPr>
            <w:tcW w:w="1134" w:type="dxa"/>
            <w:tcBorders>
              <w:left w:val="single" w:sz="4" w:space="0" w:color="auto"/>
              <w:right w:val="single" w:sz="4" w:space="0" w:color="auto"/>
            </w:tcBorders>
            <w:shd w:val="clear" w:color="auto" w:fill="auto"/>
            <w:vAlign w:val="center"/>
          </w:tcPr>
          <w:p w14:paraId="49113AE1"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101.969</w:t>
            </w:r>
          </w:p>
        </w:tc>
        <w:tc>
          <w:tcPr>
            <w:tcW w:w="1134" w:type="dxa"/>
            <w:tcBorders>
              <w:left w:val="single" w:sz="4" w:space="0" w:color="auto"/>
              <w:right w:val="single" w:sz="4" w:space="0" w:color="auto"/>
            </w:tcBorders>
            <w:shd w:val="clear" w:color="auto" w:fill="auto"/>
            <w:vAlign w:val="center"/>
          </w:tcPr>
          <w:p w14:paraId="350CA0F5"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106.594</w:t>
            </w:r>
          </w:p>
        </w:tc>
        <w:tc>
          <w:tcPr>
            <w:tcW w:w="1134" w:type="dxa"/>
            <w:tcBorders>
              <w:left w:val="single" w:sz="4" w:space="0" w:color="auto"/>
              <w:right w:val="single" w:sz="4" w:space="0" w:color="auto"/>
            </w:tcBorders>
            <w:shd w:val="clear" w:color="auto" w:fill="auto"/>
            <w:vAlign w:val="center"/>
          </w:tcPr>
          <w:p w14:paraId="40879AF7"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116.546</w:t>
            </w:r>
          </w:p>
        </w:tc>
        <w:tc>
          <w:tcPr>
            <w:tcW w:w="1276" w:type="dxa"/>
            <w:tcBorders>
              <w:left w:val="single" w:sz="4" w:space="0" w:color="auto"/>
              <w:right w:val="single" w:sz="4" w:space="0" w:color="auto"/>
            </w:tcBorders>
            <w:vAlign w:val="center"/>
          </w:tcPr>
          <w:p w14:paraId="2D50C5E8" w14:textId="77777777" w:rsidR="000856FA" w:rsidRPr="00CA504F" w:rsidRDefault="000856FA" w:rsidP="000856FA">
            <w:pPr>
              <w:spacing w:before="60" w:after="60"/>
              <w:jc w:val="center"/>
              <w:rPr>
                <w:rFonts w:ascii="Times New Roman" w:hAnsi="Times New Roman"/>
                <w:b/>
                <w:sz w:val="24"/>
                <w:szCs w:val="24"/>
              </w:rPr>
            </w:pPr>
            <w:r w:rsidRPr="00CA504F">
              <w:rPr>
                <w:rFonts w:ascii="Times New Roman" w:eastAsia="Times New Roman" w:hAnsi="Times New Roman"/>
                <w:sz w:val="24"/>
                <w:szCs w:val="24"/>
              </w:rPr>
              <w:t>133.195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51666" w14:textId="77777777" w:rsidR="000856FA" w:rsidRPr="00CA504F" w:rsidRDefault="000856FA" w:rsidP="000856FA">
            <w:pPr>
              <w:spacing w:before="60" w:after="60"/>
              <w:jc w:val="center"/>
              <w:rPr>
                <w:rFonts w:ascii="Times New Roman" w:hAnsi="Times New Roman"/>
                <w:b/>
                <w:sz w:val="24"/>
                <w:szCs w:val="24"/>
              </w:rPr>
            </w:pPr>
            <w:r w:rsidRPr="00CA504F">
              <w:rPr>
                <w:rFonts w:ascii="Times New Roman" w:hAnsi="Times New Roman"/>
                <w:b/>
                <w:sz w:val="24"/>
                <w:szCs w:val="24"/>
              </w:rPr>
              <w:t>6,36</w:t>
            </w:r>
          </w:p>
        </w:tc>
      </w:tr>
      <w:tr w:rsidR="00CA504F" w:rsidRPr="00CA504F" w14:paraId="32754F87" w14:textId="77777777" w:rsidTr="000856FA">
        <w:tc>
          <w:tcPr>
            <w:tcW w:w="1838" w:type="dxa"/>
            <w:shd w:val="clear" w:color="auto" w:fill="auto"/>
          </w:tcPr>
          <w:p w14:paraId="1ECCEF4C" w14:textId="77777777" w:rsidR="000856FA" w:rsidRPr="00CA504F" w:rsidRDefault="000856FA" w:rsidP="000856FA">
            <w:pPr>
              <w:pStyle w:val="1"/>
              <w:spacing w:before="60" w:after="60" w:line="276" w:lineRule="auto"/>
              <w:jc w:val="both"/>
              <w:rPr>
                <w:b w:val="0"/>
                <w:sz w:val="24"/>
                <w:szCs w:val="24"/>
              </w:rPr>
            </w:pPr>
            <w:r w:rsidRPr="00CA504F">
              <w:rPr>
                <w:b w:val="0"/>
                <w:sz w:val="24"/>
                <w:szCs w:val="24"/>
              </w:rPr>
              <w:t>Từ trên 50 tuổi đến đủ 60 tuổi</w:t>
            </w:r>
          </w:p>
        </w:tc>
        <w:tc>
          <w:tcPr>
            <w:tcW w:w="1134" w:type="dxa"/>
            <w:tcBorders>
              <w:right w:val="single" w:sz="4" w:space="0" w:color="auto"/>
            </w:tcBorders>
            <w:shd w:val="clear" w:color="auto" w:fill="auto"/>
            <w:vAlign w:val="center"/>
          </w:tcPr>
          <w:p w14:paraId="3704FC4B"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28.889</w:t>
            </w:r>
          </w:p>
        </w:tc>
        <w:tc>
          <w:tcPr>
            <w:tcW w:w="1134" w:type="dxa"/>
            <w:tcBorders>
              <w:left w:val="single" w:sz="4" w:space="0" w:color="auto"/>
              <w:right w:val="single" w:sz="4" w:space="0" w:color="auto"/>
            </w:tcBorders>
            <w:shd w:val="clear" w:color="auto" w:fill="auto"/>
            <w:vAlign w:val="center"/>
          </w:tcPr>
          <w:p w14:paraId="554FA03D" w14:textId="77777777" w:rsidR="000856FA" w:rsidRPr="00CA504F" w:rsidRDefault="000856FA" w:rsidP="000856FA">
            <w:pPr>
              <w:pStyle w:val="1"/>
              <w:spacing w:before="60" w:after="60" w:line="276" w:lineRule="auto"/>
              <w:rPr>
                <w:b w:val="0"/>
                <w:sz w:val="24"/>
                <w:szCs w:val="24"/>
              </w:rPr>
            </w:pPr>
            <w:r w:rsidRPr="00CA504F">
              <w:rPr>
                <w:b w:val="0"/>
                <w:sz w:val="24"/>
                <w:szCs w:val="24"/>
              </w:rPr>
              <w:t>30.602</w:t>
            </w:r>
          </w:p>
        </w:tc>
        <w:tc>
          <w:tcPr>
            <w:tcW w:w="1134" w:type="dxa"/>
            <w:tcBorders>
              <w:left w:val="single" w:sz="4" w:space="0" w:color="auto"/>
              <w:right w:val="single" w:sz="4" w:space="0" w:color="auto"/>
            </w:tcBorders>
            <w:shd w:val="clear" w:color="auto" w:fill="auto"/>
            <w:vAlign w:val="center"/>
          </w:tcPr>
          <w:p w14:paraId="6AC31993"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35.630</w:t>
            </w:r>
          </w:p>
        </w:tc>
        <w:tc>
          <w:tcPr>
            <w:tcW w:w="1134" w:type="dxa"/>
            <w:tcBorders>
              <w:left w:val="single" w:sz="4" w:space="0" w:color="auto"/>
              <w:right w:val="single" w:sz="4" w:space="0" w:color="auto"/>
            </w:tcBorders>
            <w:shd w:val="clear" w:color="auto" w:fill="auto"/>
            <w:vAlign w:val="center"/>
          </w:tcPr>
          <w:p w14:paraId="59B91F4D"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37.361</w:t>
            </w:r>
          </w:p>
        </w:tc>
        <w:tc>
          <w:tcPr>
            <w:tcW w:w="1134" w:type="dxa"/>
            <w:tcBorders>
              <w:left w:val="single" w:sz="4" w:space="0" w:color="auto"/>
              <w:right w:val="single" w:sz="4" w:space="0" w:color="auto"/>
            </w:tcBorders>
            <w:shd w:val="clear" w:color="auto" w:fill="auto"/>
            <w:vAlign w:val="center"/>
          </w:tcPr>
          <w:p w14:paraId="2DF2B353"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42.354</w:t>
            </w:r>
          </w:p>
        </w:tc>
        <w:tc>
          <w:tcPr>
            <w:tcW w:w="1276" w:type="dxa"/>
            <w:tcBorders>
              <w:left w:val="single" w:sz="4" w:space="0" w:color="auto"/>
              <w:right w:val="single" w:sz="4" w:space="0" w:color="auto"/>
            </w:tcBorders>
            <w:vAlign w:val="center"/>
          </w:tcPr>
          <w:p w14:paraId="52D655A3" w14:textId="77777777" w:rsidR="000856FA" w:rsidRPr="00CA504F" w:rsidRDefault="000856FA" w:rsidP="000856FA">
            <w:pPr>
              <w:spacing w:before="60" w:after="60"/>
              <w:jc w:val="center"/>
              <w:rPr>
                <w:rFonts w:ascii="Times New Roman" w:hAnsi="Times New Roman"/>
                <w:b/>
                <w:sz w:val="24"/>
                <w:szCs w:val="24"/>
              </w:rPr>
            </w:pPr>
            <w:r w:rsidRPr="00CA504F">
              <w:rPr>
                <w:rFonts w:ascii="Times New Roman" w:eastAsia="Times New Roman" w:hAnsi="Times New Roman"/>
                <w:sz w:val="24"/>
                <w:szCs w:val="24"/>
              </w:rPr>
              <w:t>49.871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029EE" w14:textId="77777777" w:rsidR="000856FA" w:rsidRPr="00CA504F" w:rsidRDefault="000856FA" w:rsidP="000856FA">
            <w:pPr>
              <w:spacing w:before="60" w:after="60"/>
              <w:jc w:val="center"/>
              <w:rPr>
                <w:rFonts w:ascii="Times New Roman" w:hAnsi="Times New Roman"/>
                <w:b/>
                <w:sz w:val="24"/>
                <w:szCs w:val="24"/>
              </w:rPr>
            </w:pPr>
            <w:r w:rsidRPr="00CA504F">
              <w:rPr>
                <w:rFonts w:ascii="Times New Roman" w:hAnsi="Times New Roman"/>
                <w:b/>
                <w:sz w:val="24"/>
                <w:szCs w:val="24"/>
              </w:rPr>
              <w:t>7,21</w:t>
            </w:r>
          </w:p>
        </w:tc>
      </w:tr>
      <w:tr w:rsidR="00CA504F" w:rsidRPr="00CA504F" w14:paraId="7DACB3BB" w14:textId="77777777" w:rsidTr="000856FA">
        <w:tc>
          <w:tcPr>
            <w:tcW w:w="1838" w:type="dxa"/>
            <w:shd w:val="clear" w:color="auto" w:fill="auto"/>
          </w:tcPr>
          <w:p w14:paraId="5978AD22" w14:textId="77777777" w:rsidR="000856FA" w:rsidRPr="00CA504F" w:rsidRDefault="000856FA" w:rsidP="000856FA">
            <w:pPr>
              <w:pStyle w:val="1"/>
              <w:spacing w:before="60" w:after="60" w:line="276" w:lineRule="auto"/>
              <w:jc w:val="both"/>
              <w:rPr>
                <w:b w:val="0"/>
                <w:sz w:val="24"/>
                <w:szCs w:val="24"/>
              </w:rPr>
            </w:pPr>
            <w:r w:rsidRPr="00CA504F">
              <w:rPr>
                <w:b w:val="0"/>
                <w:sz w:val="24"/>
                <w:szCs w:val="24"/>
              </w:rPr>
              <w:t>Trên 60 tuổi</w:t>
            </w:r>
          </w:p>
        </w:tc>
        <w:tc>
          <w:tcPr>
            <w:tcW w:w="1134" w:type="dxa"/>
            <w:tcBorders>
              <w:right w:val="single" w:sz="4" w:space="0" w:color="auto"/>
            </w:tcBorders>
            <w:shd w:val="clear" w:color="auto" w:fill="auto"/>
            <w:vAlign w:val="center"/>
          </w:tcPr>
          <w:p w14:paraId="0596C8F2"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6.516</w:t>
            </w:r>
          </w:p>
        </w:tc>
        <w:tc>
          <w:tcPr>
            <w:tcW w:w="1134" w:type="dxa"/>
            <w:tcBorders>
              <w:left w:val="single" w:sz="4" w:space="0" w:color="auto"/>
              <w:right w:val="single" w:sz="4" w:space="0" w:color="auto"/>
            </w:tcBorders>
            <w:shd w:val="clear" w:color="auto" w:fill="auto"/>
            <w:vAlign w:val="center"/>
          </w:tcPr>
          <w:p w14:paraId="04A7AC5B" w14:textId="77777777" w:rsidR="000856FA" w:rsidRPr="00CA504F" w:rsidRDefault="000856FA" w:rsidP="000856FA">
            <w:pPr>
              <w:pStyle w:val="1"/>
              <w:spacing w:before="60" w:after="60" w:line="276" w:lineRule="auto"/>
              <w:rPr>
                <w:b w:val="0"/>
                <w:sz w:val="24"/>
                <w:szCs w:val="24"/>
              </w:rPr>
            </w:pPr>
            <w:r w:rsidRPr="00CA504F">
              <w:rPr>
                <w:b w:val="0"/>
                <w:sz w:val="24"/>
                <w:szCs w:val="24"/>
              </w:rPr>
              <w:t>6.832</w:t>
            </w:r>
          </w:p>
        </w:tc>
        <w:tc>
          <w:tcPr>
            <w:tcW w:w="1134" w:type="dxa"/>
            <w:tcBorders>
              <w:left w:val="single" w:sz="4" w:space="0" w:color="auto"/>
              <w:right w:val="single" w:sz="4" w:space="0" w:color="auto"/>
            </w:tcBorders>
            <w:shd w:val="clear" w:color="auto" w:fill="auto"/>
            <w:vAlign w:val="center"/>
          </w:tcPr>
          <w:p w14:paraId="2F8BDAA1"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7.785</w:t>
            </w:r>
          </w:p>
        </w:tc>
        <w:tc>
          <w:tcPr>
            <w:tcW w:w="1134" w:type="dxa"/>
            <w:tcBorders>
              <w:left w:val="single" w:sz="4" w:space="0" w:color="auto"/>
              <w:right w:val="single" w:sz="4" w:space="0" w:color="auto"/>
            </w:tcBorders>
            <w:shd w:val="clear" w:color="auto" w:fill="auto"/>
            <w:vAlign w:val="center"/>
          </w:tcPr>
          <w:p w14:paraId="234F157A"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8.005</w:t>
            </w:r>
          </w:p>
        </w:tc>
        <w:tc>
          <w:tcPr>
            <w:tcW w:w="1134" w:type="dxa"/>
            <w:tcBorders>
              <w:left w:val="single" w:sz="4" w:space="0" w:color="auto"/>
              <w:right w:val="single" w:sz="4" w:space="0" w:color="auto"/>
            </w:tcBorders>
            <w:shd w:val="clear" w:color="auto" w:fill="auto"/>
            <w:vAlign w:val="center"/>
          </w:tcPr>
          <w:p w14:paraId="2BF7ABA2" w14:textId="77777777" w:rsidR="000856FA" w:rsidRPr="00CA504F" w:rsidRDefault="000856FA" w:rsidP="000856FA">
            <w:pPr>
              <w:spacing w:before="60" w:after="60"/>
              <w:jc w:val="center"/>
              <w:rPr>
                <w:rFonts w:ascii="Times New Roman" w:hAnsi="Times New Roman"/>
                <w:sz w:val="24"/>
                <w:szCs w:val="24"/>
              </w:rPr>
            </w:pPr>
            <w:r w:rsidRPr="00CA504F">
              <w:rPr>
                <w:rFonts w:ascii="Times New Roman" w:hAnsi="Times New Roman"/>
                <w:sz w:val="24"/>
                <w:szCs w:val="24"/>
              </w:rPr>
              <w:t>10.007</w:t>
            </w:r>
          </w:p>
        </w:tc>
        <w:tc>
          <w:tcPr>
            <w:tcW w:w="1276" w:type="dxa"/>
            <w:tcBorders>
              <w:left w:val="single" w:sz="4" w:space="0" w:color="auto"/>
              <w:right w:val="single" w:sz="4" w:space="0" w:color="auto"/>
            </w:tcBorders>
            <w:vAlign w:val="center"/>
          </w:tcPr>
          <w:p w14:paraId="5780362C" w14:textId="77777777" w:rsidR="000856FA" w:rsidRPr="00CA504F" w:rsidRDefault="000856FA" w:rsidP="000856FA">
            <w:pPr>
              <w:spacing w:before="60" w:after="60"/>
              <w:jc w:val="center"/>
              <w:rPr>
                <w:rFonts w:ascii="Times New Roman" w:hAnsi="Times New Roman"/>
                <w:b/>
                <w:sz w:val="24"/>
                <w:szCs w:val="24"/>
              </w:rPr>
            </w:pPr>
            <w:r w:rsidRPr="00CA504F">
              <w:rPr>
                <w:rFonts w:ascii="Times New Roman" w:eastAsia="Times New Roman" w:hAnsi="Times New Roman"/>
                <w:sz w:val="24"/>
                <w:szCs w:val="24"/>
              </w:rPr>
              <w:t>9.595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AB2B65" w14:textId="77777777" w:rsidR="000856FA" w:rsidRPr="00CA504F" w:rsidRDefault="000856FA" w:rsidP="000856FA">
            <w:pPr>
              <w:spacing w:before="60" w:after="60"/>
              <w:jc w:val="center"/>
              <w:rPr>
                <w:rFonts w:ascii="Times New Roman" w:hAnsi="Times New Roman"/>
                <w:b/>
                <w:sz w:val="24"/>
                <w:szCs w:val="24"/>
              </w:rPr>
            </w:pPr>
            <w:r w:rsidRPr="00CA504F">
              <w:rPr>
                <w:rFonts w:ascii="Times New Roman" w:hAnsi="Times New Roman"/>
                <w:b/>
                <w:sz w:val="24"/>
                <w:szCs w:val="24"/>
              </w:rPr>
              <w:t>7,25</w:t>
            </w:r>
          </w:p>
        </w:tc>
      </w:tr>
    </w:tbl>
    <w:p w14:paraId="6577F874" w14:textId="35DFF18D" w:rsidR="000856FA" w:rsidRPr="00545387" w:rsidRDefault="00545387" w:rsidP="00545387">
      <w:pPr>
        <w:pStyle w:val="1"/>
        <w:spacing w:after="0" w:line="276" w:lineRule="auto"/>
        <w:ind w:firstLine="709"/>
        <w:jc w:val="right"/>
        <w:rPr>
          <w:b w:val="0"/>
          <w:bCs/>
          <w:i/>
          <w:sz w:val="28"/>
          <w:szCs w:val="28"/>
        </w:rPr>
      </w:pPr>
      <w:r w:rsidRPr="00545387">
        <w:rPr>
          <w:rFonts w:eastAsia="Times New Roman"/>
          <w:b w:val="0"/>
          <w:i/>
          <w:sz w:val="28"/>
          <w:szCs w:val="28"/>
        </w:rPr>
        <w:t>(Nguồn: Bảo hiểm xã hội Việt Nam)</w:t>
      </w:r>
    </w:p>
    <w:p w14:paraId="46836D28" w14:textId="77777777" w:rsidR="000856FA" w:rsidRPr="00CA504F" w:rsidRDefault="000856FA" w:rsidP="00BC202A">
      <w:pPr>
        <w:spacing w:after="120"/>
        <w:ind w:firstLine="709"/>
        <w:jc w:val="both"/>
        <w:rPr>
          <w:rFonts w:ascii="Times New Roman" w:eastAsia="Times New Roman" w:hAnsi="Times New Roman"/>
          <w:sz w:val="28"/>
          <w:szCs w:val="28"/>
        </w:rPr>
      </w:pPr>
      <w:r w:rsidRPr="00CA504F">
        <w:rPr>
          <w:rFonts w:ascii="Times New Roman" w:eastAsia="Times New Roman" w:hAnsi="Times New Roman"/>
          <w:sz w:val="28"/>
          <w:szCs w:val="28"/>
        </w:rPr>
        <w:lastRenderedPageBreak/>
        <w:t xml:space="preserve">Những người hưởng BHXH một lần tập trung đông nhất ở nhóm tuổi từ trên 30 đến đủ 40 tuổi </w:t>
      </w:r>
      <w:r w:rsidRPr="00CA504F">
        <w:rPr>
          <w:rFonts w:ascii="Times New Roman" w:eastAsia="Times New Roman" w:hAnsi="Times New Roman"/>
          <w:i/>
          <w:sz w:val="28"/>
          <w:szCs w:val="28"/>
        </w:rPr>
        <w:t>(chiếm khoảng 40,4%),</w:t>
      </w:r>
      <w:r w:rsidRPr="00CA504F">
        <w:rPr>
          <w:rFonts w:ascii="Times New Roman" w:eastAsia="Times New Roman" w:hAnsi="Times New Roman"/>
          <w:sz w:val="28"/>
          <w:szCs w:val="28"/>
        </w:rPr>
        <w:t xml:space="preserve"> nhóm tuổi từ trên 20 đến đủ 30 tuổi đứng thứ hai </w:t>
      </w:r>
      <w:r w:rsidRPr="00CA504F">
        <w:rPr>
          <w:rFonts w:ascii="Times New Roman" w:eastAsia="Times New Roman" w:hAnsi="Times New Roman"/>
          <w:i/>
          <w:sz w:val="28"/>
          <w:szCs w:val="28"/>
        </w:rPr>
        <w:t>(chiếm khoảng 37,1%);</w:t>
      </w:r>
      <w:r w:rsidRPr="00CA504F">
        <w:rPr>
          <w:rFonts w:ascii="Times New Roman" w:eastAsia="Times New Roman" w:hAnsi="Times New Roman"/>
          <w:sz w:val="28"/>
          <w:szCs w:val="28"/>
        </w:rPr>
        <w:t xml:space="preserve"> nhóm tuổi từ trên 40 tuổi đến đủ 50 tuổi đứng thứ 3 (</w:t>
      </w:r>
      <w:r w:rsidRPr="00CA504F">
        <w:rPr>
          <w:rFonts w:ascii="Times New Roman" w:eastAsia="Times New Roman" w:hAnsi="Times New Roman"/>
          <w:i/>
          <w:sz w:val="28"/>
          <w:szCs w:val="28"/>
        </w:rPr>
        <w:t>chiếm khoảng 15,4%)</w:t>
      </w:r>
      <w:r w:rsidRPr="00CA504F">
        <w:rPr>
          <w:rFonts w:ascii="Times New Roman" w:eastAsia="Times New Roman" w:hAnsi="Times New Roman"/>
          <w:sz w:val="28"/>
          <w:szCs w:val="28"/>
        </w:rPr>
        <w:t>, nhóm tuổi từ trên 50 tuổi đến đủ 60 tuổi đứng thứ 4 (</w:t>
      </w:r>
      <w:r w:rsidRPr="00CA504F">
        <w:rPr>
          <w:rFonts w:ascii="Times New Roman" w:eastAsia="Times New Roman" w:hAnsi="Times New Roman"/>
          <w:i/>
          <w:sz w:val="28"/>
          <w:szCs w:val="28"/>
        </w:rPr>
        <w:t>chiếm khoảng 5,8%),</w:t>
      </w:r>
      <w:r w:rsidRPr="00CA504F">
        <w:rPr>
          <w:rFonts w:ascii="Times New Roman" w:eastAsia="Times New Roman" w:hAnsi="Times New Roman"/>
          <w:sz w:val="28"/>
          <w:szCs w:val="28"/>
        </w:rPr>
        <w:t xml:space="preserve"> nhóm tuổi từ trên 60 tuổi đứng thứ 5 </w:t>
      </w:r>
      <w:r w:rsidRPr="00CA504F">
        <w:rPr>
          <w:rFonts w:ascii="Times New Roman" w:eastAsia="Times New Roman" w:hAnsi="Times New Roman"/>
          <w:i/>
          <w:sz w:val="28"/>
          <w:szCs w:val="28"/>
        </w:rPr>
        <w:t>(chiếm khoảng 1,1%),</w:t>
      </w:r>
      <w:r w:rsidRPr="00CA504F">
        <w:rPr>
          <w:rFonts w:ascii="Times New Roman" w:eastAsia="Times New Roman" w:hAnsi="Times New Roman"/>
          <w:sz w:val="28"/>
          <w:szCs w:val="28"/>
        </w:rPr>
        <w:t xml:space="preserve"> thấp nhất là nhóm từ đủ 20 tuổi trở xuống </w:t>
      </w:r>
      <w:r w:rsidRPr="00CA504F">
        <w:rPr>
          <w:rFonts w:ascii="Times New Roman" w:eastAsia="Times New Roman" w:hAnsi="Times New Roman"/>
          <w:i/>
          <w:sz w:val="28"/>
          <w:szCs w:val="28"/>
        </w:rPr>
        <w:t>(chiếm khoảng 0,3%)</w:t>
      </w:r>
      <w:r w:rsidRPr="00CA504F">
        <w:rPr>
          <w:rFonts w:ascii="Times New Roman" w:eastAsia="Times New Roman" w:hAnsi="Times New Roman"/>
          <w:sz w:val="28"/>
          <w:szCs w:val="28"/>
        </w:rPr>
        <w:t>. Như vậy, có thể thấy, người hưởng BHXH một lần chủ yếu là lao động trẻ, từ trên 20 tuổi đến đủ 40 tuổi (</w:t>
      </w:r>
      <w:r w:rsidRPr="00CA504F">
        <w:rPr>
          <w:rFonts w:ascii="Times New Roman" w:eastAsia="Times New Roman" w:hAnsi="Times New Roman"/>
          <w:i/>
          <w:sz w:val="28"/>
          <w:szCs w:val="28"/>
        </w:rPr>
        <w:t>chiếm khoảng 77,5% trong tổng số người hưởng BHXH một lần).</w:t>
      </w:r>
    </w:p>
    <w:p w14:paraId="3AFF6A67" w14:textId="3CC163D2" w:rsidR="000856FA" w:rsidRPr="00CA504F" w:rsidRDefault="000856FA" w:rsidP="00BC202A">
      <w:pPr>
        <w:pStyle w:val="1"/>
        <w:spacing w:after="120" w:line="276" w:lineRule="auto"/>
        <w:ind w:firstLine="709"/>
        <w:jc w:val="both"/>
        <w:rPr>
          <w:b w:val="0"/>
          <w:sz w:val="28"/>
          <w:szCs w:val="28"/>
        </w:rPr>
      </w:pPr>
      <w:r w:rsidRPr="00CA504F">
        <w:rPr>
          <w:b w:val="0"/>
          <w:bCs/>
          <w:sz w:val="28"/>
          <w:szCs w:val="28"/>
        </w:rPr>
        <w:t xml:space="preserve">Điều này cho thấy việc hưởng BHXH một lần sớm vẫn </w:t>
      </w:r>
      <w:r w:rsidR="00BB480B" w:rsidRPr="00CA504F">
        <w:rPr>
          <w:b w:val="0"/>
          <w:bCs/>
          <w:sz w:val="28"/>
          <w:szCs w:val="28"/>
        </w:rPr>
        <w:t>có thể tiếp tục gia tăng</w:t>
      </w:r>
      <w:r w:rsidRPr="00CA504F">
        <w:rPr>
          <w:b w:val="0"/>
          <w:bCs/>
          <w:sz w:val="28"/>
          <w:szCs w:val="28"/>
        </w:rPr>
        <w:t>, bởi chính ở giai đoạn tuổi trẻ này thì hầu hết lao động quan tâm nhiều đến nhu cầu trước mắt</w:t>
      </w:r>
      <w:r w:rsidR="001B1450" w:rsidRPr="00CA504F">
        <w:rPr>
          <w:b w:val="0"/>
          <w:bCs/>
          <w:sz w:val="28"/>
          <w:szCs w:val="28"/>
        </w:rPr>
        <w:t xml:space="preserve"> (ngắn hạn)</w:t>
      </w:r>
      <w:r w:rsidRPr="00CA504F">
        <w:rPr>
          <w:b w:val="0"/>
          <w:bCs/>
          <w:sz w:val="28"/>
          <w:szCs w:val="28"/>
        </w:rPr>
        <w:t xml:space="preserve"> hơn là nhu cầu hưởng lương hưu khi về già</w:t>
      </w:r>
      <w:r w:rsidR="001B1450" w:rsidRPr="00CA504F">
        <w:rPr>
          <w:b w:val="0"/>
          <w:bCs/>
          <w:sz w:val="28"/>
          <w:szCs w:val="28"/>
        </w:rPr>
        <w:t xml:space="preserve"> (dài hạn)</w:t>
      </w:r>
      <w:r w:rsidRPr="00CA504F">
        <w:rPr>
          <w:b w:val="0"/>
          <w:bCs/>
          <w:sz w:val="28"/>
          <w:szCs w:val="28"/>
        </w:rPr>
        <w:t>, phần nữa cũng do áp lực về tài chính (bắt đầu tự lập, tiếp tục đầu tư học tập nâng cao trình độ nghề, lập gia đình, nuôi con nhỏ…) và sự thay đổi, gián đoạn trong công việc (công việc chưa ổn định, bản thân muốn tìm kiếm cơ hội tốt</w:t>
      </w:r>
      <w:r w:rsidRPr="00CA504F">
        <w:rPr>
          <w:b w:val="0"/>
          <w:sz w:val="28"/>
          <w:szCs w:val="28"/>
        </w:rPr>
        <w:t xml:space="preserve"> hơn…) nên số lượng người hưởng BHXH một lần bình quân còn trẻ.</w:t>
      </w:r>
    </w:p>
    <w:p w14:paraId="602B0676" w14:textId="01C8B112" w:rsidR="002B7410" w:rsidRPr="00CA504F" w:rsidRDefault="000856FA" w:rsidP="009C7A19">
      <w:pPr>
        <w:pStyle w:val="1"/>
        <w:spacing w:after="120" w:line="276" w:lineRule="auto"/>
        <w:ind w:firstLine="709"/>
        <w:jc w:val="both"/>
        <w:rPr>
          <w:sz w:val="28"/>
          <w:szCs w:val="28"/>
        </w:rPr>
      </w:pPr>
      <w:r w:rsidRPr="00CA504F">
        <w:rPr>
          <w:b w:val="0"/>
          <w:sz w:val="28"/>
          <w:szCs w:val="28"/>
        </w:rPr>
        <w:t>- Xét theo điều kiện hưởng BHXH một lần, ta có bảng sau:</w:t>
      </w:r>
    </w:p>
    <w:p w14:paraId="20643BA2" w14:textId="67FA38CF" w:rsidR="000856FA" w:rsidRPr="00CA504F" w:rsidRDefault="000856FA" w:rsidP="00BC202A">
      <w:pPr>
        <w:pStyle w:val="1"/>
        <w:spacing w:after="120" w:line="276" w:lineRule="auto"/>
        <w:rPr>
          <w:bCs/>
          <w:iCs/>
          <w:sz w:val="24"/>
          <w:szCs w:val="28"/>
        </w:rPr>
      </w:pPr>
      <w:r w:rsidRPr="00CA504F">
        <w:rPr>
          <w:iCs/>
          <w:sz w:val="24"/>
          <w:szCs w:val="28"/>
        </w:rPr>
        <w:t xml:space="preserve">Bảng </w:t>
      </w:r>
      <w:r w:rsidR="00CA504F" w:rsidRPr="00CA504F">
        <w:rPr>
          <w:iCs/>
          <w:sz w:val="24"/>
          <w:szCs w:val="28"/>
        </w:rPr>
        <w:t>9</w:t>
      </w:r>
      <w:r w:rsidRPr="00CA504F">
        <w:rPr>
          <w:iCs/>
          <w:sz w:val="24"/>
          <w:szCs w:val="28"/>
        </w:rPr>
        <w:t>:</w:t>
      </w:r>
      <w:r w:rsidRPr="00CA504F">
        <w:rPr>
          <w:b w:val="0"/>
          <w:iCs/>
          <w:sz w:val="24"/>
          <w:szCs w:val="28"/>
        </w:rPr>
        <w:t xml:space="preserve"> </w:t>
      </w:r>
      <w:r w:rsidRPr="00CA504F">
        <w:rPr>
          <w:bCs/>
          <w:iCs/>
          <w:sz w:val="24"/>
          <w:szCs w:val="28"/>
        </w:rPr>
        <w:t>Số người hưởng BHXH một lần thống kê theo điều kiện hưởng BHXH một lần</w:t>
      </w:r>
    </w:p>
    <w:p w14:paraId="40508799" w14:textId="77777777" w:rsidR="000856FA" w:rsidRPr="00CA504F" w:rsidRDefault="000856FA" w:rsidP="00BC202A">
      <w:pPr>
        <w:pStyle w:val="1"/>
        <w:spacing w:after="120" w:line="276" w:lineRule="auto"/>
        <w:ind w:left="1080"/>
        <w:jc w:val="right"/>
        <w:rPr>
          <w:b w:val="0"/>
          <w:i/>
          <w:sz w:val="24"/>
          <w:szCs w:val="28"/>
        </w:rPr>
      </w:pPr>
      <w:r w:rsidRPr="00CA504F">
        <w:rPr>
          <w:b w:val="0"/>
          <w:i/>
          <w:sz w:val="24"/>
          <w:szCs w:val="28"/>
        </w:rPr>
        <w:t>ĐVT: người</w:t>
      </w:r>
    </w:p>
    <w:tbl>
      <w:tblPr>
        <w:tblW w:w="9923" w:type="dxa"/>
        <w:tblInd w:w="-289" w:type="dxa"/>
        <w:tblLayout w:type="fixed"/>
        <w:tblLook w:val="04A0" w:firstRow="1" w:lastRow="0" w:firstColumn="1" w:lastColumn="0" w:noHBand="0" w:noVBand="1"/>
      </w:tblPr>
      <w:tblGrid>
        <w:gridCol w:w="851"/>
        <w:gridCol w:w="1276"/>
        <w:gridCol w:w="992"/>
        <w:gridCol w:w="1276"/>
        <w:gridCol w:w="1559"/>
        <w:gridCol w:w="1134"/>
        <w:gridCol w:w="1276"/>
        <w:gridCol w:w="1559"/>
      </w:tblGrid>
      <w:tr w:rsidR="00CA504F" w:rsidRPr="00CA504F" w14:paraId="67E155D1" w14:textId="77777777" w:rsidTr="00BC202A">
        <w:trPr>
          <w:trHeight w:val="2557"/>
        </w:trPr>
        <w:tc>
          <w:tcPr>
            <w:tcW w:w="851" w:type="dxa"/>
            <w:tcBorders>
              <w:top w:val="single" w:sz="4" w:space="0" w:color="auto"/>
              <w:left w:val="single" w:sz="4" w:space="0" w:color="auto"/>
              <w:bottom w:val="nil"/>
              <w:right w:val="single" w:sz="4" w:space="0" w:color="auto"/>
            </w:tcBorders>
            <w:shd w:val="clear" w:color="auto" w:fill="auto"/>
            <w:vAlign w:val="center"/>
            <w:hideMark/>
          </w:tcPr>
          <w:p w14:paraId="6C6ED8F0" w14:textId="77777777" w:rsidR="000856FA" w:rsidRPr="00CA504F" w:rsidRDefault="000856FA" w:rsidP="000856FA">
            <w:pPr>
              <w:spacing w:after="60" w:line="360" w:lineRule="auto"/>
              <w:jc w:val="both"/>
              <w:rPr>
                <w:rFonts w:ascii="Times New Roman" w:eastAsia="Times New Roman" w:hAnsi="Times New Roman"/>
                <w:b/>
                <w:bCs/>
                <w:sz w:val="24"/>
                <w:szCs w:val="24"/>
              </w:rPr>
            </w:pPr>
            <w:r w:rsidRPr="00CA504F">
              <w:rPr>
                <w:rFonts w:ascii="Times New Roman" w:eastAsia="Times New Roman" w:hAnsi="Times New Roman"/>
                <w:b/>
                <w:bCs/>
                <w:sz w:val="24"/>
                <w:szCs w:val="24"/>
              </w:rPr>
              <w:t>Năm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3855FA7" w14:textId="77777777" w:rsidR="000856FA" w:rsidRPr="00CA504F" w:rsidRDefault="000856FA" w:rsidP="00BC202A">
            <w:pPr>
              <w:spacing w:after="60" w:line="360" w:lineRule="auto"/>
              <w:rPr>
                <w:rFonts w:ascii="Times New Roman" w:eastAsia="Times New Roman" w:hAnsi="Times New Roman"/>
                <w:b/>
                <w:bCs/>
                <w:sz w:val="24"/>
                <w:szCs w:val="24"/>
              </w:rPr>
            </w:pPr>
            <w:r w:rsidRPr="00CA504F">
              <w:rPr>
                <w:rFonts w:ascii="Times New Roman" w:eastAsia="Times New Roman" w:hAnsi="Times New Roman"/>
                <w:b/>
                <w:bCs/>
                <w:sz w:val="24"/>
                <w:szCs w:val="24"/>
              </w:rPr>
              <w:t xml:space="preserve">Điểm a khoản 1 Điều 60 Luật BHXH </w:t>
            </w:r>
            <w:r w:rsidRPr="00CA504F">
              <w:rPr>
                <w:rFonts w:ascii="Times New Roman" w:eastAsia="Times New Roman" w:hAnsi="Times New Roman"/>
                <w:i/>
                <w:iCs/>
                <w:sz w:val="24"/>
                <w:szCs w:val="24"/>
              </w:rPr>
              <w:t>(đủ tuổi hưởng lương hưu mà chưa đủ 20 năm đóng BHXH, không tiếp tục tham gia BHXH tự nguyện)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EB37C3B" w14:textId="77777777" w:rsidR="000856FA" w:rsidRPr="00CA504F" w:rsidRDefault="000856FA" w:rsidP="00BC202A">
            <w:pPr>
              <w:spacing w:after="60" w:line="360" w:lineRule="auto"/>
              <w:rPr>
                <w:rFonts w:ascii="Times New Roman" w:eastAsia="Times New Roman" w:hAnsi="Times New Roman"/>
                <w:b/>
                <w:bCs/>
                <w:sz w:val="24"/>
                <w:szCs w:val="24"/>
              </w:rPr>
            </w:pPr>
            <w:r w:rsidRPr="00CA504F">
              <w:rPr>
                <w:rFonts w:ascii="Times New Roman" w:eastAsia="Times New Roman" w:hAnsi="Times New Roman"/>
                <w:b/>
                <w:bCs/>
                <w:sz w:val="24"/>
                <w:szCs w:val="24"/>
              </w:rPr>
              <w:t xml:space="preserve">Điểm b khoản 1 Điều 60 Luật BHXH </w:t>
            </w:r>
            <w:r w:rsidRPr="00CA504F">
              <w:rPr>
                <w:rFonts w:ascii="Times New Roman" w:eastAsia="Times New Roman" w:hAnsi="Times New Roman"/>
                <w:i/>
                <w:iCs/>
                <w:sz w:val="24"/>
                <w:szCs w:val="24"/>
              </w:rPr>
              <w:t>(ra nước ngoài định cư)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6B1D94C" w14:textId="77777777" w:rsidR="000856FA" w:rsidRPr="00CA504F" w:rsidRDefault="000856FA" w:rsidP="00BC202A">
            <w:pPr>
              <w:spacing w:after="60" w:line="360" w:lineRule="auto"/>
              <w:rPr>
                <w:rFonts w:ascii="Times New Roman" w:eastAsia="Times New Roman" w:hAnsi="Times New Roman"/>
                <w:b/>
                <w:bCs/>
                <w:sz w:val="24"/>
                <w:szCs w:val="24"/>
              </w:rPr>
            </w:pPr>
            <w:r w:rsidRPr="00CA504F">
              <w:rPr>
                <w:rFonts w:ascii="Times New Roman" w:eastAsia="Times New Roman" w:hAnsi="Times New Roman"/>
                <w:b/>
                <w:bCs/>
                <w:sz w:val="24"/>
                <w:szCs w:val="24"/>
              </w:rPr>
              <w:t xml:space="preserve">Điểm c khoản 1 Điều 60 Luật BHXH </w:t>
            </w:r>
            <w:r w:rsidRPr="00CA504F">
              <w:rPr>
                <w:rFonts w:ascii="Times New Roman" w:eastAsia="Times New Roman" w:hAnsi="Times New Roman"/>
                <w:i/>
                <w:iCs/>
                <w:sz w:val="24"/>
                <w:szCs w:val="24"/>
              </w:rPr>
              <w:t>(Mắc bệnh nguy hiểm đến tính mạng)</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FEA07BD" w14:textId="77777777" w:rsidR="000856FA" w:rsidRPr="00CA504F" w:rsidRDefault="000856FA" w:rsidP="00BC202A">
            <w:pPr>
              <w:spacing w:after="60" w:line="360" w:lineRule="auto"/>
              <w:rPr>
                <w:rFonts w:ascii="Times New Roman" w:eastAsia="Times New Roman" w:hAnsi="Times New Roman"/>
                <w:b/>
                <w:bCs/>
                <w:sz w:val="24"/>
                <w:szCs w:val="24"/>
              </w:rPr>
            </w:pPr>
            <w:r w:rsidRPr="00CA504F">
              <w:rPr>
                <w:rFonts w:ascii="Times New Roman" w:eastAsia="Times New Roman" w:hAnsi="Times New Roman"/>
                <w:b/>
                <w:bCs/>
                <w:sz w:val="24"/>
                <w:szCs w:val="24"/>
              </w:rPr>
              <w:t xml:space="preserve">Điểm a khoản 1 Điều 77 Luật BHXH </w:t>
            </w:r>
            <w:r w:rsidRPr="00CA504F">
              <w:rPr>
                <w:rFonts w:ascii="Times New Roman" w:eastAsia="Times New Roman" w:hAnsi="Times New Roman"/>
                <w:i/>
                <w:iCs/>
                <w:sz w:val="24"/>
                <w:szCs w:val="24"/>
              </w:rPr>
              <w:t>(đủ tuổi hưởng lương hưu mà chưa đủ 20 năm đóng BHXH, không tiếp tục tham gia BHXH)</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03789F2" w14:textId="77777777" w:rsidR="000856FA" w:rsidRPr="00CA504F" w:rsidRDefault="000856FA" w:rsidP="00BC202A">
            <w:pPr>
              <w:spacing w:after="60" w:line="360" w:lineRule="auto"/>
              <w:rPr>
                <w:rFonts w:ascii="Times New Roman" w:eastAsia="Times New Roman" w:hAnsi="Times New Roman"/>
                <w:b/>
                <w:bCs/>
                <w:sz w:val="24"/>
                <w:szCs w:val="24"/>
              </w:rPr>
            </w:pPr>
            <w:r w:rsidRPr="00CA504F">
              <w:rPr>
                <w:rFonts w:ascii="Times New Roman" w:eastAsia="Times New Roman" w:hAnsi="Times New Roman"/>
                <w:b/>
                <w:bCs/>
                <w:sz w:val="24"/>
                <w:szCs w:val="24"/>
              </w:rPr>
              <w:t xml:space="preserve">Điểm b khoản 1 Điều 77 Luật BHXH </w:t>
            </w:r>
            <w:r w:rsidRPr="00CA504F">
              <w:rPr>
                <w:rFonts w:ascii="Times New Roman" w:eastAsia="Times New Roman" w:hAnsi="Times New Roman"/>
                <w:i/>
                <w:iCs/>
                <w:sz w:val="24"/>
                <w:szCs w:val="24"/>
              </w:rPr>
              <w:t>(ra nước ngoài định cư)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DB3C9CE" w14:textId="77777777" w:rsidR="000856FA" w:rsidRPr="00CA504F" w:rsidRDefault="000856FA" w:rsidP="00BC202A">
            <w:pPr>
              <w:spacing w:after="60" w:line="360" w:lineRule="auto"/>
              <w:rPr>
                <w:rFonts w:ascii="Times New Roman" w:eastAsia="Times New Roman" w:hAnsi="Times New Roman"/>
                <w:b/>
                <w:bCs/>
                <w:sz w:val="24"/>
                <w:szCs w:val="24"/>
              </w:rPr>
            </w:pPr>
            <w:r w:rsidRPr="00CA504F">
              <w:rPr>
                <w:rFonts w:ascii="Times New Roman" w:eastAsia="Times New Roman" w:hAnsi="Times New Roman"/>
                <w:b/>
                <w:bCs/>
                <w:sz w:val="24"/>
                <w:szCs w:val="24"/>
              </w:rPr>
              <w:t xml:space="preserve">Điểm c khoản 1 Điều 77 Luật BHXH </w:t>
            </w:r>
            <w:r w:rsidRPr="00CA504F">
              <w:rPr>
                <w:rFonts w:ascii="Times New Roman" w:eastAsia="Times New Roman" w:hAnsi="Times New Roman"/>
                <w:i/>
                <w:iCs/>
                <w:sz w:val="24"/>
                <w:szCs w:val="24"/>
              </w:rPr>
              <w:t>(Mắc bệnh nguy hiểm đến tính mạng)</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551A2DA" w14:textId="77777777" w:rsidR="000856FA" w:rsidRPr="00CA504F" w:rsidRDefault="000856FA" w:rsidP="00BC202A">
            <w:pPr>
              <w:spacing w:after="60" w:line="360" w:lineRule="auto"/>
              <w:rPr>
                <w:rFonts w:ascii="Times New Roman" w:eastAsia="Times New Roman" w:hAnsi="Times New Roman"/>
                <w:b/>
                <w:bCs/>
                <w:sz w:val="24"/>
                <w:szCs w:val="24"/>
              </w:rPr>
            </w:pPr>
            <w:r w:rsidRPr="00CA504F">
              <w:rPr>
                <w:rFonts w:ascii="Times New Roman" w:eastAsia="Times New Roman" w:hAnsi="Times New Roman"/>
                <w:b/>
                <w:bCs/>
                <w:sz w:val="24"/>
                <w:szCs w:val="24"/>
              </w:rPr>
              <w:t>Khoản 1 Điều 1 Nghị Quyết số 93/2015/QH13</w:t>
            </w:r>
            <w:r w:rsidRPr="00CA504F">
              <w:rPr>
                <w:rFonts w:ascii="Times New Roman" w:eastAsia="Times New Roman" w:hAnsi="Times New Roman"/>
                <w:i/>
                <w:iCs/>
                <w:sz w:val="24"/>
                <w:szCs w:val="24"/>
              </w:rPr>
              <w:t xml:space="preserve"> (người tham gia BHXH bắt buộc sau 1 năm nghỉ việc hoặc người tham gia BHXH tự nguyện sau 1 năm không tiếp tục đóng BHXH mà chưa đủ 20 </w:t>
            </w:r>
            <w:r w:rsidRPr="00CA504F">
              <w:rPr>
                <w:rFonts w:ascii="Times New Roman" w:eastAsia="Times New Roman" w:hAnsi="Times New Roman"/>
                <w:i/>
                <w:iCs/>
                <w:sz w:val="24"/>
                <w:szCs w:val="24"/>
              </w:rPr>
              <w:lastRenderedPageBreak/>
              <w:t>năm đóng BHXH)</w:t>
            </w:r>
          </w:p>
        </w:tc>
      </w:tr>
      <w:tr w:rsidR="00CA504F" w:rsidRPr="00CA504F" w14:paraId="5A1ED598" w14:textId="77777777" w:rsidTr="00BC202A">
        <w:trPr>
          <w:trHeight w:val="432"/>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61DD9" w14:textId="77777777" w:rsidR="000856FA" w:rsidRPr="00CA504F" w:rsidRDefault="000856FA"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lastRenderedPageBreak/>
              <w:t>2016</w:t>
            </w:r>
          </w:p>
        </w:tc>
        <w:tc>
          <w:tcPr>
            <w:tcW w:w="1276" w:type="dxa"/>
            <w:tcBorders>
              <w:top w:val="nil"/>
              <w:left w:val="nil"/>
              <w:bottom w:val="single" w:sz="4" w:space="0" w:color="auto"/>
              <w:right w:val="single" w:sz="4" w:space="0" w:color="auto"/>
            </w:tcBorders>
            <w:shd w:val="clear" w:color="auto" w:fill="auto"/>
            <w:noWrap/>
            <w:vAlign w:val="bottom"/>
            <w:hideMark/>
          </w:tcPr>
          <w:p w14:paraId="61D3EF63"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4.904</w:t>
            </w:r>
          </w:p>
        </w:tc>
        <w:tc>
          <w:tcPr>
            <w:tcW w:w="992" w:type="dxa"/>
            <w:tcBorders>
              <w:top w:val="nil"/>
              <w:left w:val="nil"/>
              <w:bottom w:val="single" w:sz="4" w:space="0" w:color="auto"/>
              <w:right w:val="single" w:sz="4" w:space="0" w:color="auto"/>
            </w:tcBorders>
            <w:shd w:val="clear" w:color="auto" w:fill="auto"/>
            <w:noWrap/>
            <w:vAlign w:val="bottom"/>
            <w:hideMark/>
          </w:tcPr>
          <w:p w14:paraId="1A9395D7"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1</w:t>
            </w:r>
          </w:p>
        </w:tc>
        <w:tc>
          <w:tcPr>
            <w:tcW w:w="1276" w:type="dxa"/>
            <w:tcBorders>
              <w:top w:val="nil"/>
              <w:left w:val="nil"/>
              <w:bottom w:val="single" w:sz="4" w:space="0" w:color="auto"/>
              <w:right w:val="single" w:sz="4" w:space="0" w:color="auto"/>
            </w:tcBorders>
            <w:shd w:val="clear" w:color="auto" w:fill="auto"/>
            <w:noWrap/>
            <w:vAlign w:val="bottom"/>
            <w:hideMark/>
          </w:tcPr>
          <w:p w14:paraId="2AE809A9"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1</w:t>
            </w:r>
          </w:p>
        </w:tc>
        <w:tc>
          <w:tcPr>
            <w:tcW w:w="1559" w:type="dxa"/>
            <w:tcBorders>
              <w:top w:val="nil"/>
              <w:left w:val="nil"/>
              <w:bottom w:val="single" w:sz="4" w:space="0" w:color="auto"/>
              <w:right w:val="single" w:sz="4" w:space="0" w:color="auto"/>
            </w:tcBorders>
            <w:shd w:val="clear" w:color="auto" w:fill="auto"/>
            <w:noWrap/>
            <w:vAlign w:val="bottom"/>
            <w:hideMark/>
          </w:tcPr>
          <w:p w14:paraId="22C766D9" w14:textId="77777777" w:rsidR="000856FA" w:rsidRPr="00CA504F" w:rsidRDefault="000856FA" w:rsidP="000856FA">
            <w:pPr>
              <w:spacing w:after="60" w:line="360" w:lineRule="auto"/>
              <w:jc w:val="both"/>
              <w:rPr>
                <w:rFonts w:ascii="Times New Roman" w:eastAsia="Times New Roman" w:hAnsi="Times New Roman"/>
                <w:sz w:val="24"/>
                <w:szCs w:val="24"/>
              </w:rPr>
            </w:pPr>
          </w:p>
        </w:tc>
        <w:tc>
          <w:tcPr>
            <w:tcW w:w="1134" w:type="dxa"/>
            <w:tcBorders>
              <w:top w:val="nil"/>
              <w:left w:val="nil"/>
              <w:bottom w:val="single" w:sz="4" w:space="0" w:color="auto"/>
              <w:right w:val="single" w:sz="4" w:space="0" w:color="auto"/>
            </w:tcBorders>
            <w:shd w:val="clear" w:color="auto" w:fill="auto"/>
            <w:noWrap/>
            <w:vAlign w:val="bottom"/>
            <w:hideMark/>
          </w:tcPr>
          <w:p w14:paraId="56C14D20" w14:textId="77777777" w:rsidR="000856FA" w:rsidRPr="00CA504F" w:rsidRDefault="000856FA" w:rsidP="000856FA">
            <w:pPr>
              <w:spacing w:after="60" w:line="360" w:lineRule="auto"/>
              <w:jc w:val="both"/>
              <w:rPr>
                <w:rFonts w:ascii="Times New Roman" w:eastAsia="Times New Roman" w:hAnsi="Times New Roman"/>
                <w:sz w:val="24"/>
                <w:szCs w:val="24"/>
              </w:rPr>
            </w:pPr>
          </w:p>
        </w:tc>
        <w:tc>
          <w:tcPr>
            <w:tcW w:w="1276" w:type="dxa"/>
            <w:tcBorders>
              <w:top w:val="nil"/>
              <w:left w:val="nil"/>
              <w:bottom w:val="single" w:sz="4" w:space="0" w:color="auto"/>
              <w:right w:val="single" w:sz="4" w:space="0" w:color="auto"/>
            </w:tcBorders>
            <w:shd w:val="clear" w:color="auto" w:fill="auto"/>
            <w:noWrap/>
            <w:vAlign w:val="bottom"/>
            <w:hideMark/>
          </w:tcPr>
          <w:p w14:paraId="50B8AA9A" w14:textId="77777777" w:rsidR="000856FA" w:rsidRPr="00CA504F" w:rsidRDefault="000856FA" w:rsidP="000856FA">
            <w:pPr>
              <w:spacing w:after="60" w:line="360" w:lineRule="auto"/>
              <w:jc w:val="both"/>
              <w:rPr>
                <w:rFonts w:ascii="Times New Roman" w:eastAsia="Times New Roman" w:hAnsi="Times New Roman"/>
                <w:sz w:val="24"/>
                <w:szCs w:val="24"/>
              </w:rPr>
            </w:pPr>
          </w:p>
        </w:tc>
        <w:tc>
          <w:tcPr>
            <w:tcW w:w="1559" w:type="dxa"/>
            <w:tcBorders>
              <w:top w:val="nil"/>
              <w:left w:val="nil"/>
              <w:bottom w:val="single" w:sz="4" w:space="0" w:color="auto"/>
              <w:right w:val="single" w:sz="4" w:space="0" w:color="auto"/>
            </w:tcBorders>
            <w:shd w:val="clear" w:color="auto" w:fill="auto"/>
            <w:noWrap/>
            <w:vAlign w:val="bottom"/>
            <w:hideMark/>
          </w:tcPr>
          <w:p w14:paraId="5775B7F3"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495.268</w:t>
            </w:r>
          </w:p>
        </w:tc>
      </w:tr>
      <w:tr w:rsidR="00CA504F" w:rsidRPr="00CA504F" w14:paraId="2C0DD51A" w14:textId="77777777" w:rsidTr="00BC202A">
        <w:trPr>
          <w:trHeight w:val="29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BF50CC5" w14:textId="77777777" w:rsidR="000856FA" w:rsidRPr="00CA504F" w:rsidRDefault="000856FA"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t>2017</w:t>
            </w:r>
          </w:p>
        </w:tc>
        <w:tc>
          <w:tcPr>
            <w:tcW w:w="1276" w:type="dxa"/>
            <w:tcBorders>
              <w:top w:val="nil"/>
              <w:left w:val="nil"/>
              <w:bottom w:val="single" w:sz="4" w:space="0" w:color="auto"/>
              <w:right w:val="single" w:sz="4" w:space="0" w:color="auto"/>
            </w:tcBorders>
            <w:shd w:val="clear" w:color="auto" w:fill="auto"/>
            <w:noWrap/>
            <w:vAlign w:val="bottom"/>
            <w:hideMark/>
          </w:tcPr>
          <w:p w14:paraId="32F7D8A1"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5.238</w:t>
            </w:r>
          </w:p>
        </w:tc>
        <w:tc>
          <w:tcPr>
            <w:tcW w:w="992" w:type="dxa"/>
            <w:tcBorders>
              <w:top w:val="nil"/>
              <w:left w:val="nil"/>
              <w:bottom w:val="single" w:sz="4" w:space="0" w:color="auto"/>
              <w:right w:val="single" w:sz="4" w:space="0" w:color="auto"/>
            </w:tcBorders>
            <w:shd w:val="clear" w:color="auto" w:fill="auto"/>
            <w:noWrap/>
            <w:vAlign w:val="bottom"/>
            <w:hideMark/>
          </w:tcPr>
          <w:p w14:paraId="693E6417"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453</w:t>
            </w:r>
          </w:p>
        </w:tc>
        <w:tc>
          <w:tcPr>
            <w:tcW w:w="1276" w:type="dxa"/>
            <w:tcBorders>
              <w:top w:val="nil"/>
              <w:left w:val="nil"/>
              <w:bottom w:val="single" w:sz="4" w:space="0" w:color="auto"/>
              <w:right w:val="single" w:sz="4" w:space="0" w:color="auto"/>
            </w:tcBorders>
            <w:shd w:val="clear" w:color="auto" w:fill="auto"/>
            <w:noWrap/>
            <w:vAlign w:val="bottom"/>
            <w:hideMark/>
          </w:tcPr>
          <w:p w14:paraId="1992AAC3"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285</w:t>
            </w:r>
          </w:p>
        </w:tc>
        <w:tc>
          <w:tcPr>
            <w:tcW w:w="1559" w:type="dxa"/>
            <w:tcBorders>
              <w:top w:val="nil"/>
              <w:left w:val="nil"/>
              <w:bottom w:val="single" w:sz="4" w:space="0" w:color="auto"/>
              <w:right w:val="single" w:sz="4" w:space="0" w:color="auto"/>
            </w:tcBorders>
            <w:shd w:val="clear" w:color="auto" w:fill="auto"/>
            <w:noWrap/>
            <w:vAlign w:val="bottom"/>
            <w:hideMark/>
          </w:tcPr>
          <w:p w14:paraId="2AADBD9A"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38</w:t>
            </w:r>
          </w:p>
        </w:tc>
        <w:tc>
          <w:tcPr>
            <w:tcW w:w="1134" w:type="dxa"/>
            <w:tcBorders>
              <w:top w:val="nil"/>
              <w:left w:val="nil"/>
              <w:bottom w:val="single" w:sz="4" w:space="0" w:color="auto"/>
              <w:right w:val="single" w:sz="4" w:space="0" w:color="auto"/>
            </w:tcBorders>
            <w:shd w:val="clear" w:color="auto" w:fill="auto"/>
            <w:noWrap/>
            <w:vAlign w:val="bottom"/>
            <w:hideMark/>
          </w:tcPr>
          <w:p w14:paraId="664F90B7"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3</w:t>
            </w:r>
          </w:p>
        </w:tc>
        <w:tc>
          <w:tcPr>
            <w:tcW w:w="1276" w:type="dxa"/>
            <w:tcBorders>
              <w:top w:val="nil"/>
              <w:left w:val="nil"/>
              <w:bottom w:val="single" w:sz="4" w:space="0" w:color="auto"/>
              <w:right w:val="single" w:sz="4" w:space="0" w:color="auto"/>
            </w:tcBorders>
            <w:shd w:val="clear" w:color="auto" w:fill="auto"/>
            <w:noWrap/>
            <w:vAlign w:val="bottom"/>
            <w:hideMark/>
          </w:tcPr>
          <w:p w14:paraId="156F992B"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4</w:t>
            </w:r>
          </w:p>
        </w:tc>
        <w:tc>
          <w:tcPr>
            <w:tcW w:w="1559" w:type="dxa"/>
            <w:tcBorders>
              <w:top w:val="nil"/>
              <w:left w:val="nil"/>
              <w:bottom w:val="single" w:sz="4" w:space="0" w:color="auto"/>
              <w:right w:val="single" w:sz="4" w:space="0" w:color="auto"/>
            </w:tcBorders>
            <w:shd w:val="clear" w:color="auto" w:fill="auto"/>
            <w:noWrap/>
            <w:vAlign w:val="bottom"/>
            <w:hideMark/>
          </w:tcPr>
          <w:p w14:paraId="7553D48B"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554.116</w:t>
            </w:r>
          </w:p>
        </w:tc>
      </w:tr>
      <w:tr w:rsidR="00CA504F" w:rsidRPr="00CA504F" w14:paraId="7B5C3734" w14:textId="77777777" w:rsidTr="00BC202A">
        <w:trPr>
          <w:trHeight w:val="4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9B522FC" w14:textId="77777777" w:rsidR="000856FA" w:rsidRPr="00CA504F" w:rsidRDefault="000856FA"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t>2018</w:t>
            </w:r>
          </w:p>
        </w:tc>
        <w:tc>
          <w:tcPr>
            <w:tcW w:w="1276" w:type="dxa"/>
            <w:tcBorders>
              <w:top w:val="nil"/>
              <w:left w:val="nil"/>
              <w:bottom w:val="single" w:sz="4" w:space="0" w:color="auto"/>
              <w:right w:val="single" w:sz="4" w:space="0" w:color="auto"/>
            </w:tcBorders>
            <w:shd w:val="clear" w:color="auto" w:fill="auto"/>
            <w:noWrap/>
            <w:vAlign w:val="bottom"/>
            <w:hideMark/>
          </w:tcPr>
          <w:p w14:paraId="250BDD8A"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5.532</w:t>
            </w:r>
          </w:p>
        </w:tc>
        <w:tc>
          <w:tcPr>
            <w:tcW w:w="992" w:type="dxa"/>
            <w:tcBorders>
              <w:top w:val="nil"/>
              <w:left w:val="nil"/>
              <w:bottom w:val="single" w:sz="4" w:space="0" w:color="auto"/>
              <w:right w:val="single" w:sz="4" w:space="0" w:color="auto"/>
            </w:tcBorders>
            <w:shd w:val="clear" w:color="auto" w:fill="auto"/>
            <w:noWrap/>
            <w:vAlign w:val="bottom"/>
            <w:hideMark/>
          </w:tcPr>
          <w:p w14:paraId="533EAF41"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3.263</w:t>
            </w:r>
          </w:p>
        </w:tc>
        <w:tc>
          <w:tcPr>
            <w:tcW w:w="1276" w:type="dxa"/>
            <w:tcBorders>
              <w:top w:val="nil"/>
              <w:left w:val="nil"/>
              <w:bottom w:val="single" w:sz="4" w:space="0" w:color="auto"/>
              <w:right w:val="single" w:sz="4" w:space="0" w:color="auto"/>
            </w:tcBorders>
            <w:shd w:val="clear" w:color="auto" w:fill="auto"/>
            <w:noWrap/>
            <w:vAlign w:val="bottom"/>
            <w:hideMark/>
          </w:tcPr>
          <w:p w14:paraId="26D62C54"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855</w:t>
            </w:r>
          </w:p>
        </w:tc>
        <w:tc>
          <w:tcPr>
            <w:tcW w:w="1559" w:type="dxa"/>
            <w:tcBorders>
              <w:top w:val="nil"/>
              <w:left w:val="nil"/>
              <w:bottom w:val="single" w:sz="4" w:space="0" w:color="auto"/>
              <w:right w:val="single" w:sz="4" w:space="0" w:color="auto"/>
            </w:tcBorders>
            <w:shd w:val="clear" w:color="auto" w:fill="auto"/>
            <w:noWrap/>
            <w:vAlign w:val="bottom"/>
            <w:hideMark/>
          </w:tcPr>
          <w:p w14:paraId="016F5295"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183</w:t>
            </w:r>
          </w:p>
        </w:tc>
        <w:tc>
          <w:tcPr>
            <w:tcW w:w="1134" w:type="dxa"/>
            <w:tcBorders>
              <w:top w:val="nil"/>
              <w:left w:val="nil"/>
              <w:bottom w:val="single" w:sz="4" w:space="0" w:color="auto"/>
              <w:right w:val="single" w:sz="4" w:space="0" w:color="auto"/>
            </w:tcBorders>
            <w:shd w:val="clear" w:color="auto" w:fill="auto"/>
            <w:noWrap/>
            <w:vAlign w:val="bottom"/>
            <w:hideMark/>
          </w:tcPr>
          <w:p w14:paraId="26BFDD38"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20</w:t>
            </w:r>
          </w:p>
        </w:tc>
        <w:tc>
          <w:tcPr>
            <w:tcW w:w="1276" w:type="dxa"/>
            <w:tcBorders>
              <w:top w:val="nil"/>
              <w:left w:val="nil"/>
              <w:bottom w:val="single" w:sz="4" w:space="0" w:color="auto"/>
              <w:right w:val="single" w:sz="4" w:space="0" w:color="auto"/>
            </w:tcBorders>
            <w:shd w:val="clear" w:color="auto" w:fill="auto"/>
            <w:noWrap/>
            <w:vAlign w:val="bottom"/>
            <w:hideMark/>
          </w:tcPr>
          <w:p w14:paraId="299684F0"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28</w:t>
            </w:r>
          </w:p>
        </w:tc>
        <w:tc>
          <w:tcPr>
            <w:tcW w:w="1559" w:type="dxa"/>
            <w:tcBorders>
              <w:top w:val="nil"/>
              <w:left w:val="nil"/>
              <w:bottom w:val="single" w:sz="4" w:space="0" w:color="auto"/>
              <w:right w:val="single" w:sz="4" w:space="0" w:color="auto"/>
            </w:tcBorders>
            <w:shd w:val="clear" w:color="auto" w:fill="auto"/>
            <w:noWrap/>
            <w:vAlign w:val="bottom"/>
            <w:hideMark/>
          </w:tcPr>
          <w:p w14:paraId="0E76B721"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656.601</w:t>
            </w:r>
          </w:p>
        </w:tc>
      </w:tr>
      <w:tr w:rsidR="00CA504F" w:rsidRPr="00CA504F" w14:paraId="09F337F0" w14:textId="77777777" w:rsidTr="00BC202A">
        <w:trPr>
          <w:trHeight w:val="27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BBEAFA8" w14:textId="77777777" w:rsidR="000856FA" w:rsidRPr="00CA504F" w:rsidRDefault="000856FA"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t>2019</w:t>
            </w:r>
          </w:p>
        </w:tc>
        <w:tc>
          <w:tcPr>
            <w:tcW w:w="1276" w:type="dxa"/>
            <w:tcBorders>
              <w:top w:val="nil"/>
              <w:left w:val="nil"/>
              <w:bottom w:val="single" w:sz="4" w:space="0" w:color="auto"/>
              <w:right w:val="single" w:sz="4" w:space="0" w:color="auto"/>
            </w:tcBorders>
            <w:shd w:val="clear" w:color="auto" w:fill="auto"/>
            <w:noWrap/>
            <w:vAlign w:val="bottom"/>
            <w:hideMark/>
          </w:tcPr>
          <w:p w14:paraId="7D656F28"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5.902</w:t>
            </w:r>
          </w:p>
        </w:tc>
        <w:tc>
          <w:tcPr>
            <w:tcW w:w="992" w:type="dxa"/>
            <w:tcBorders>
              <w:top w:val="nil"/>
              <w:left w:val="nil"/>
              <w:bottom w:val="single" w:sz="4" w:space="0" w:color="auto"/>
              <w:right w:val="single" w:sz="4" w:space="0" w:color="auto"/>
            </w:tcBorders>
            <w:shd w:val="clear" w:color="auto" w:fill="auto"/>
            <w:noWrap/>
            <w:vAlign w:val="bottom"/>
            <w:hideMark/>
          </w:tcPr>
          <w:p w14:paraId="37665B66"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3.741</w:t>
            </w:r>
          </w:p>
        </w:tc>
        <w:tc>
          <w:tcPr>
            <w:tcW w:w="1276" w:type="dxa"/>
            <w:tcBorders>
              <w:top w:val="nil"/>
              <w:left w:val="nil"/>
              <w:bottom w:val="single" w:sz="4" w:space="0" w:color="auto"/>
              <w:right w:val="single" w:sz="4" w:space="0" w:color="auto"/>
            </w:tcBorders>
            <w:shd w:val="clear" w:color="auto" w:fill="auto"/>
            <w:noWrap/>
            <w:vAlign w:val="bottom"/>
            <w:hideMark/>
          </w:tcPr>
          <w:p w14:paraId="6CCD3A49"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667</w:t>
            </w:r>
          </w:p>
        </w:tc>
        <w:tc>
          <w:tcPr>
            <w:tcW w:w="1559" w:type="dxa"/>
            <w:tcBorders>
              <w:top w:val="nil"/>
              <w:left w:val="nil"/>
              <w:bottom w:val="single" w:sz="4" w:space="0" w:color="auto"/>
              <w:right w:val="single" w:sz="4" w:space="0" w:color="auto"/>
            </w:tcBorders>
            <w:shd w:val="clear" w:color="auto" w:fill="auto"/>
            <w:noWrap/>
            <w:vAlign w:val="bottom"/>
            <w:hideMark/>
          </w:tcPr>
          <w:p w14:paraId="1841E162"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196</w:t>
            </w:r>
          </w:p>
        </w:tc>
        <w:tc>
          <w:tcPr>
            <w:tcW w:w="1134" w:type="dxa"/>
            <w:tcBorders>
              <w:top w:val="nil"/>
              <w:left w:val="nil"/>
              <w:bottom w:val="single" w:sz="4" w:space="0" w:color="auto"/>
              <w:right w:val="single" w:sz="4" w:space="0" w:color="auto"/>
            </w:tcBorders>
            <w:shd w:val="clear" w:color="auto" w:fill="auto"/>
            <w:noWrap/>
            <w:vAlign w:val="bottom"/>
            <w:hideMark/>
          </w:tcPr>
          <w:p w14:paraId="32701E94"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10</w:t>
            </w:r>
          </w:p>
        </w:tc>
        <w:tc>
          <w:tcPr>
            <w:tcW w:w="1276" w:type="dxa"/>
            <w:tcBorders>
              <w:top w:val="nil"/>
              <w:left w:val="nil"/>
              <w:bottom w:val="single" w:sz="4" w:space="0" w:color="auto"/>
              <w:right w:val="single" w:sz="4" w:space="0" w:color="auto"/>
            </w:tcBorders>
            <w:shd w:val="clear" w:color="auto" w:fill="auto"/>
            <w:noWrap/>
            <w:vAlign w:val="bottom"/>
            <w:hideMark/>
          </w:tcPr>
          <w:p w14:paraId="1251F387"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18</w:t>
            </w:r>
          </w:p>
        </w:tc>
        <w:tc>
          <w:tcPr>
            <w:tcW w:w="1559" w:type="dxa"/>
            <w:tcBorders>
              <w:top w:val="nil"/>
              <w:left w:val="nil"/>
              <w:bottom w:val="single" w:sz="4" w:space="0" w:color="auto"/>
              <w:right w:val="single" w:sz="4" w:space="0" w:color="auto"/>
            </w:tcBorders>
            <w:shd w:val="clear" w:color="auto" w:fill="auto"/>
            <w:noWrap/>
            <w:vAlign w:val="bottom"/>
            <w:hideMark/>
          </w:tcPr>
          <w:p w14:paraId="6CF83AC3"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696.650</w:t>
            </w:r>
          </w:p>
        </w:tc>
      </w:tr>
      <w:tr w:rsidR="00CA504F" w:rsidRPr="00CA504F" w14:paraId="2CD66DC8" w14:textId="77777777" w:rsidTr="00BC202A">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2B5B7A5" w14:textId="77777777" w:rsidR="000856FA" w:rsidRPr="00CA504F" w:rsidRDefault="000856FA"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t>2020</w:t>
            </w:r>
          </w:p>
        </w:tc>
        <w:tc>
          <w:tcPr>
            <w:tcW w:w="1276" w:type="dxa"/>
            <w:tcBorders>
              <w:top w:val="nil"/>
              <w:left w:val="nil"/>
              <w:bottom w:val="single" w:sz="4" w:space="0" w:color="auto"/>
              <w:right w:val="single" w:sz="4" w:space="0" w:color="auto"/>
            </w:tcBorders>
            <w:shd w:val="clear" w:color="auto" w:fill="auto"/>
            <w:noWrap/>
            <w:vAlign w:val="bottom"/>
            <w:hideMark/>
          </w:tcPr>
          <w:p w14:paraId="20531D65"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6.551</w:t>
            </w:r>
          </w:p>
        </w:tc>
        <w:tc>
          <w:tcPr>
            <w:tcW w:w="992" w:type="dxa"/>
            <w:tcBorders>
              <w:top w:val="nil"/>
              <w:left w:val="nil"/>
              <w:bottom w:val="single" w:sz="4" w:space="0" w:color="auto"/>
              <w:right w:val="single" w:sz="4" w:space="0" w:color="auto"/>
            </w:tcBorders>
            <w:shd w:val="clear" w:color="auto" w:fill="auto"/>
            <w:noWrap/>
            <w:vAlign w:val="bottom"/>
            <w:hideMark/>
          </w:tcPr>
          <w:p w14:paraId="2F9B671C"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1.650</w:t>
            </w:r>
          </w:p>
        </w:tc>
        <w:tc>
          <w:tcPr>
            <w:tcW w:w="1276" w:type="dxa"/>
            <w:tcBorders>
              <w:top w:val="nil"/>
              <w:left w:val="nil"/>
              <w:bottom w:val="single" w:sz="4" w:space="0" w:color="auto"/>
              <w:right w:val="single" w:sz="4" w:space="0" w:color="auto"/>
            </w:tcBorders>
            <w:shd w:val="clear" w:color="auto" w:fill="auto"/>
            <w:noWrap/>
            <w:vAlign w:val="bottom"/>
            <w:hideMark/>
          </w:tcPr>
          <w:p w14:paraId="77CF7895"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508</w:t>
            </w:r>
          </w:p>
        </w:tc>
        <w:tc>
          <w:tcPr>
            <w:tcW w:w="1559" w:type="dxa"/>
            <w:tcBorders>
              <w:top w:val="nil"/>
              <w:left w:val="nil"/>
              <w:bottom w:val="single" w:sz="4" w:space="0" w:color="auto"/>
              <w:right w:val="single" w:sz="4" w:space="0" w:color="auto"/>
            </w:tcBorders>
            <w:shd w:val="clear" w:color="auto" w:fill="auto"/>
            <w:noWrap/>
            <w:vAlign w:val="bottom"/>
            <w:hideMark/>
          </w:tcPr>
          <w:p w14:paraId="6D51DD0B"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885</w:t>
            </w:r>
          </w:p>
        </w:tc>
        <w:tc>
          <w:tcPr>
            <w:tcW w:w="1134" w:type="dxa"/>
            <w:tcBorders>
              <w:top w:val="nil"/>
              <w:left w:val="nil"/>
              <w:bottom w:val="single" w:sz="4" w:space="0" w:color="auto"/>
              <w:right w:val="single" w:sz="4" w:space="0" w:color="auto"/>
            </w:tcBorders>
            <w:shd w:val="clear" w:color="auto" w:fill="auto"/>
            <w:noWrap/>
            <w:vAlign w:val="bottom"/>
            <w:hideMark/>
          </w:tcPr>
          <w:p w14:paraId="7899E501"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11</w:t>
            </w:r>
          </w:p>
        </w:tc>
        <w:tc>
          <w:tcPr>
            <w:tcW w:w="1276" w:type="dxa"/>
            <w:tcBorders>
              <w:top w:val="nil"/>
              <w:left w:val="nil"/>
              <w:bottom w:val="single" w:sz="4" w:space="0" w:color="auto"/>
              <w:right w:val="single" w:sz="4" w:space="0" w:color="auto"/>
            </w:tcBorders>
            <w:shd w:val="clear" w:color="auto" w:fill="auto"/>
            <w:noWrap/>
            <w:vAlign w:val="bottom"/>
            <w:hideMark/>
          </w:tcPr>
          <w:p w14:paraId="42F35ADD"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14</w:t>
            </w:r>
          </w:p>
        </w:tc>
        <w:tc>
          <w:tcPr>
            <w:tcW w:w="1559" w:type="dxa"/>
            <w:tcBorders>
              <w:top w:val="nil"/>
              <w:left w:val="nil"/>
              <w:bottom w:val="single" w:sz="4" w:space="0" w:color="auto"/>
              <w:right w:val="single" w:sz="4" w:space="0" w:color="auto"/>
            </w:tcBorders>
            <w:shd w:val="clear" w:color="auto" w:fill="auto"/>
            <w:noWrap/>
            <w:vAlign w:val="bottom"/>
            <w:hideMark/>
          </w:tcPr>
          <w:p w14:paraId="0CF1A1BC"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751.462</w:t>
            </w:r>
          </w:p>
        </w:tc>
      </w:tr>
      <w:tr w:rsidR="00CA504F" w:rsidRPr="00CA504F" w14:paraId="4CC78146" w14:textId="77777777" w:rsidTr="00BC202A">
        <w:trPr>
          <w:trHeight w:val="27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93E6C3F" w14:textId="77777777" w:rsidR="000856FA" w:rsidRPr="00CA504F" w:rsidRDefault="000856FA" w:rsidP="000856FA">
            <w:pPr>
              <w:spacing w:after="60" w:line="360" w:lineRule="auto"/>
              <w:jc w:val="both"/>
              <w:rPr>
                <w:rFonts w:ascii="Times New Roman" w:eastAsia="Times New Roman" w:hAnsi="Times New Roman"/>
                <w:b/>
                <w:sz w:val="24"/>
                <w:szCs w:val="24"/>
              </w:rPr>
            </w:pPr>
            <w:r w:rsidRPr="00CA504F">
              <w:rPr>
                <w:rFonts w:ascii="Times New Roman" w:eastAsia="Times New Roman" w:hAnsi="Times New Roman"/>
                <w:b/>
                <w:sz w:val="24"/>
                <w:szCs w:val="24"/>
              </w:rPr>
              <w:t>2021</w:t>
            </w:r>
          </w:p>
        </w:tc>
        <w:tc>
          <w:tcPr>
            <w:tcW w:w="1276" w:type="dxa"/>
            <w:tcBorders>
              <w:top w:val="nil"/>
              <w:left w:val="nil"/>
              <w:bottom w:val="single" w:sz="4" w:space="0" w:color="auto"/>
              <w:right w:val="single" w:sz="4" w:space="0" w:color="auto"/>
            </w:tcBorders>
            <w:shd w:val="clear" w:color="auto" w:fill="auto"/>
            <w:noWrap/>
            <w:vAlign w:val="bottom"/>
            <w:hideMark/>
          </w:tcPr>
          <w:p w14:paraId="2ACB7784"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4.033</w:t>
            </w:r>
          </w:p>
        </w:tc>
        <w:tc>
          <w:tcPr>
            <w:tcW w:w="992" w:type="dxa"/>
            <w:tcBorders>
              <w:top w:val="nil"/>
              <w:left w:val="nil"/>
              <w:bottom w:val="single" w:sz="4" w:space="0" w:color="auto"/>
              <w:right w:val="single" w:sz="4" w:space="0" w:color="auto"/>
            </w:tcBorders>
            <w:shd w:val="clear" w:color="auto" w:fill="auto"/>
            <w:noWrap/>
            <w:vAlign w:val="bottom"/>
            <w:hideMark/>
          </w:tcPr>
          <w:p w14:paraId="5AB4D97E"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652</w:t>
            </w:r>
          </w:p>
        </w:tc>
        <w:tc>
          <w:tcPr>
            <w:tcW w:w="1276" w:type="dxa"/>
            <w:tcBorders>
              <w:top w:val="nil"/>
              <w:left w:val="nil"/>
              <w:bottom w:val="single" w:sz="4" w:space="0" w:color="auto"/>
              <w:right w:val="single" w:sz="4" w:space="0" w:color="auto"/>
            </w:tcBorders>
            <w:shd w:val="clear" w:color="auto" w:fill="auto"/>
            <w:noWrap/>
            <w:vAlign w:val="bottom"/>
            <w:hideMark/>
          </w:tcPr>
          <w:p w14:paraId="6708AF1B"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391</w:t>
            </w:r>
          </w:p>
        </w:tc>
        <w:tc>
          <w:tcPr>
            <w:tcW w:w="1559" w:type="dxa"/>
            <w:tcBorders>
              <w:top w:val="nil"/>
              <w:left w:val="nil"/>
              <w:bottom w:val="single" w:sz="4" w:space="0" w:color="auto"/>
              <w:right w:val="single" w:sz="4" w:space="0" w:color="auto"/>
            </w:tcBorders>
            <w:shd w:val="clear" w:color="auto" w:fill="auto"/>
            <w:noWrap/>
            <w:vAlign w:val="bottom"/>
            <w:hideMark/>
          </w:tcPr>
          <w:p w14:paraId="53329412"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1.278</w:t>
            </w:r>
          </w:p>
        </w:tc>
        <w:tc>
          <w:tcPr>
            <w:tcW w:w="1134" w:type="dxa"/>
            <w:tcBorders>
              <w:top w:val="nil"/>
              <w:left w:val="nil"/>
              <w:bottom w:val="single" w:sz="4" w:space="0" w:color="auto"/>
              <w:right w:val="single" w:sz="4" w:space="0" w:color="auto"/>
            </w:tcBorders>
            <w:shd w:val="clear" w:color="auto" w:fill="auto"/>
            <w:noWrap/>
            <w:vAlign w:val="bottom"/>
            <w:hideMark/>
          </w:tcPr>
          <w:p w14:paraId="56675AA4"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4</w:t>
            </w:r>
          </w:p>
        </w:tc>
        <w:tc>
          <w:tcPr>
            <w:tcW w:w="1276" w:type="dxa"/>
            <w:tcBorders>
              <w:top w:val="nil"/>
              <w:left w:val="nil"/>
              <w:bottom w:val="single" w:sz="4" w:space="0" w:color="auto"/>
              <w:right w:val="single" w:sz="4" w:space="0" w:color="auto"/>
            </w:tcBorders>
            <w:shd w:val="clear" w:color="auto" w:fill="auto"/>
            <w:noWrap/>
            <w:vAlign w:val="bottom"/>
            <w:hideMark/>
          </w:tcPr>
          <w:p w14:paraId="560D3931"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8</w:t>
            </w:r>
          </w:p>
        </w:tc>
        <w:tc>
          <w:tcPr>
            <w:tcW w:w="1559" w:type="dxa"/>
            <w:tcBorders>
              <w:top w:val="nil"/>
              <w:left w:val="nil"/>
              <w:bottom w:val="single" w:sz="4" w:space="0" w:color="auto"/>
              <w:right w:val="single" w:sz="4" w:space="0" w:color="auto"/>
            </w:tcBorders>
            <w:shd w:val="clear" w:color="auto" w:fill="auto"/>
            <w:noWrap/>
            <w:vAlign w:val="bottom"/>
            <w:hideMark/>
          </w:tcPr>
          <w:p w14:paraId="5457F10E" w14:textId="77777777" w:rsidR="000856FA" w:rsidRPr="00CA504F" w:rsidRDefault="000856FA" w:rsidP="000856FA">
            <w:pPr>
              <w:spacing w:after="60" w:line="360" w:lineRule="auto"/>
              <w:jc w:val="both"/>
              <w:rPr>
                <w:rFonts w:ascii="Times New Roman" w:eastAsia="Times New Roman" w:hAnsi="Times New Roman"/>
                <w:sz w:val="24"/>
                <w:szCs w:val="24"/>
              </w:rPr>
            </w:pPr>
            <w:r w:rsidRPr="00CA504F">
              <w:rPr>
                <w:rFonts w:ascii="Times New Roman" w:eastAsia="Times New Roman" w:hAnsi="Times New Roman"/>
                <w:sz w:val="24"/>
                <w:szCs w:val="24"/>
              </w:rPr>
              <w:t>856.893</w:t>
            </w:r>
          </w:p>
        </w:tc>
      </w:tr>
      <w:tr w:rsidR="00CA504F" w:rsidRPr="00CA504F" w14:paraId="6180BB53" w14:textId="77777777" w:rsidTr="00BC202A">
        <w:trPr>
          <w:trHeight w:val="3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CB73672"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Tổng giai đoạn</w:t>
            </w:r>
          </w:p>
        </w:tc>
        <w:tc>
          <w:tcPr>
            <w:tcW w:w="1276" w:type="dxa"/>
            <w:tcBorders>
              <w:top w:val="nil"/>
              <w:left w:val="nil"/>
              <w:bottom w:val="single" w:sz="4" w:space="0" w:color="auto"/>
              <w:right w:val="single" w:sz="4" w:space="0" w:color="auto"/>
            </w:tcBorders>
            <w:shd w:val="clear" w:color="auto" w:fill="auto"/>
            <w:noWrap/>
            <w:vAlign w:val="bottom"/>
            <w:hideMark/>
          </w:tcPr>
          <w:p w14:paraId="3BB068FD"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32.160</w:t>
            </w:r>
          </w:p>
        </w:tc>
        <w:tc>
          <w:tcPr>
            <w:tcW w:w="992" w:type="dxa"/>
            <w:tcBorders>
              <w:top w:val="nil"/>
              <w:left w:val="nil"/>
              <w:bottom w:val="single" w:sz="4" w:space="0" w:color="auto"/>
              <w:right w:val="single" w:sz="4" w:space="0" w:color="auto"/>
            </w:tcBorders>
            <w:shd w:val="clear" w:color="auto" w:fill="auto"/>
            <w:noWrap/>
            <w:vAlign w:val="bottom"/>
            <w:hideMark/>
          </w:tcPr>
          <w:p w14:paraId="79B886E0"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9.760</w:t>
            </w:r>
          </w:p>
        </w:tc>
        <w:tc>
          <w:tcPr>
            <w:tcW w:w="1276" w:type="dxa"/>
            <w:tcBorders>
              <w:top w:val="nil"/>
              <w:left w:val="nil"/>
              <w:bottom w:val="single" w:sz="4" w:space="0" w:color="auto"/>
              <w:right w:val="single" w:sz="4" w:space="0" w:color="auto"/>
            </w:tcBorders>
            <w:shd w:val="clear" w:color="auto" w:fill="auto"/>
            <w:noWrap/>
            <w:vAlign w:val="bottom"/>
            <w:hideMark/>
          </w:tcPr>
          <w:p w14:paraId="371B3ED4"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2.707</w:t>
            </w:r>
          </w:p>
        </w:tc>
        <w:tc>
          <w:tcPr>
            <w:tcW w:w="1559" w:type="dxa"/>
            <w:tcBorders>
              <w:top w:val="nil"/>
              <w:left w:val="nil"/>
              <w:bottom w:val="single" w:sz="4" w:space="0" w:color="auto"/>
              <w:right w:val="single" w:sz="4" w:space="0" w:color="auto"/>
            </w:tcBorders>
            <w:shd w:val="clear" w:color="auto" w:fill="auto"/>
            <w:noWrap/>
            <w:vAlign w:val="bottom"/>
            <w:hideMark/>
          </w:tcPr>
          <w:p w14:paraId="2B4623CF"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2.580</w:t>
            </w:r>
          </w:p>
        </w:tc>
        <w:tc>
          <w:tcPr>
            <w:tcW w:w="1134" w:type="dxa"/>
            <w:tcBorders>
              <w:top w:val="nil"/>
              <w:left w:val="nil"/>
              <w:bottom w:val="single" w:sz="4" w:space="0" w:color="auto"/>
              <w:right w:val="single" w:sz="4" w:space="0" w:color="auto"/>
            </w:tcBorders>
            <w:shd w:val="clear" w:color="auto" w:fill="auto"/>
            <w:noWrap/>
            <w:vAlign w:val="bottom"/>
            <w:hideMark/>
          </w:tcPr>
          <w:p w14:paraId="3CD8790B"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48</w:t>
            </w:r>
          </w:p>
        </w:tc>
        <w:tc>
          <w:tcPr>
            <w:tcW w:w="1276" w:type="dxa"/>
            <w:tcBorders>
              <w:top w:val="nil"/>
              <w:left w:val="nil"/>
              <w:bottom w:val="single" w:sz="4" w:space="0" w:color="auto"/>
              <w:right w:val="single" w:sz="4" w:space="0" w:color="auto"/>
            </w:tcBorders>
            <w:shd w:val="clear" w:color="auto" w:fill="auto"/>
            <w:noWrap/>
            <w:vAlign w:val="bottom"/>
            <w:hideMark/>
          </w:tcPr>
          <w:p w14:paraId="57A8615A"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72</w:t>
            </w:r>
          </w:p>
        </w:tc>
        <w:tc>
          <w:tcPr>
            <w:tcW w:w="1559" w:type="dxa"/>
            <w:tcBorders>
              <w:top w:val="nil"/>
              <w:left w:val="nil"/>
              <w:bottom w:val="single" w:sz="4" w:space="0" w:color="auto"/>
              <w:right w:val="single" w:sz="4" w:space="0" w:color="auto"/>
            </w:tcBorders>
            <w:shd w:val="clear" w:color="auto" w:fill="auto"/>
            <w:noWrap/>
            <w:vAlign w:val="bottom"/>
            <w:hideMark/>
          </w:tcPr>
          <w:p w14:paraId="71ABA909"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4.010.990</w:t>
            </w:r>
          </w:p>
        </w:tc>
      </w:tr>
      <w:tr w:rsidR="00CA504F" w:rsidRPr="00CA504F" w14:paraId="6FC5FFE2" w14:textId="77777777" w:rsidTr="00BC202A">
        <w:trPr>
          <w:trHeight w:val="3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29F3F23"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Tỷ lệ</w:t>
            </w:r>
          </w:p>
        </w:tc>
        <w:tc>
          <w:tcPr>
            <w:tcW w:w="1276" w:type="dxa"/>
            <w:tcBorders>
              <w:top w:val="nil"/>
              <w:left w:val="nil"/>
              <w:bottom w:val="single" w:sz="4" w:space="0" w:color="auto"/>
              <w:right w:val="single" w:sz="4" w:space="0" w:color="auto"/>
            </w:tcBorders>
            <w:shd w:val="clear" w:color="auto" w:fill="auto"/>
            <w:noWrap/>
            <w:vAlign w:val="bottom"/>
            <w:hideMark/>
          </w:tcPr>
          <w:p w14:paraId="5245EF57"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0,79%</w:t>
            </w:r>
          </w:p>
        </w:tc>
        <w:tc>
          <w:tcPr>
            <w:tcW w:w="992" w:type="dxa"/>
            <w:tcBorders>
              <w:top w:val="nil"/>
              <w:left w:val="nil"/>
              <w:bottom w:val="single" w:sz="4" w:space="0" w:color="auto"/>
              <w:right w:val="single" w:sz="4" w:space="0" w:color="auto"/>
            </w:tcBorders>
            <w:shd w:val="clear" w:color="auto" w:fill="auto"/>
            <w:noWrap/>
            <w:vAlign w:val="bottom"/>
            <w:hideMark/>
          </w:tcPr>
          <w:p w14:paraId="5FFBBD56"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0,24%</w:t>
            </w:r>
          </w:p>
        </w:tc>
        <w:tc>
          <w:tcPr>
            <w:tcW w:w="1276" w:type="dxa"/>
            <w:tcBorders>
              <w:top w:val="nil"/>
              <w:left w:val="nil"/>
              <w:bottom w:val="single" w:sz="4" w:space="0" w:color="auto"/>
              <w:right w:val="single" w:sz="4" w:space="0" w:color="auto"/>
            </w:tcBorders>
            <w:shd w:val="clear" w:color="auto" w:fill="auto"/>
            <w:noWrap/>
            <w:vAlign w:val="bottom"/>
            <w:hideMark/>
          </w:tcPr>
          <w:p w14:paraId="579B7930"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0,07%</w:t>
            </w:r>
          </w:p>
        </w:tc>
        <w:tc>
          <w:tcPr>
            <w:tcW w:w="1559" w:type="dxa"/>
            <w:tcBorders>
              <w:top w:val="nil"/>
              <w:left w:val="nil"/>
              <w:bottom w:val="single" w:sz="4" w:space="0" w:color="auto"/>
              <w:right w:val="single" w:sz="4" w:space="0" w:color="auto"/>
            </w:tcBorders>
            <w:shd w:val="clear" w:color="auto" w:fill="auto"/>
            <w:noWrap/>
            <w:vAlign w:val="bottom"/>
            <w:hideMark/>
          </w:tcPr>
          <w:p w14:paraId="02850454"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0,06%</w:t>
            </w:r>
          </w:p>
        </w:tc>
        <w:tc>
          <w:tcPr>
            <w:tcW w:w="1134" w:type="dxa"/>
            <w:tcBorders>
              <w:top w:val="nil"/>
              <w:left w:val="nil"/>
              <w:bottom w:val="single" w:sz="4" w:space="0" w:color="auto"/>
              <w:right w:val="single" w:sz="4" w:space="0" w:color="auto"/>
            </w:tcBorders>
            <w:shd w:val="clear" w:color="auto" w:fill="auto"/>
            <w:noWrap/>
            <w:vAlign w:val="bottom"/>
            <w:hideMark/>
          </w:tcPr>
          <w:p w14:paraId="4403AE7B"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14:paraId="5C4985B7"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0,00%</w:t>
            </w:r>
          </w:p>
        </w:tc>
        <w:tc>
          <w:tcPr>
            <w:tcW w:w="1559" w:type="dxa"/>
            <w:tcBorders>
              <w:top w:val="nil"/>
              <w:left w:val="nil"/>
              <w:bottom w:val="single" w:sz="4" w:space="0" w:color="auto"/>
              <w:right w:val="single" w:sz="4" w:space="0" w:color="auto"/>
            </w:tcBorders>
            <w:shd w:val="clear" w:color="auto" w:fill="auto"/>
            <w:noWrap/>
            <w:vAlign w:val="bottom"/>
            <w:hideMark/>
          </w:tcPr>
          <w:p w14:paraId="0B9BB6F1" w14:textId="77777777" w:rsidR="000856FA" w:rsidRPr="00CA504F" w:rsidRDefault="000856FA" w:rsidP="000856FA">
            <w:pPr>
              <w:spacing w:after="60" w:line="360" w:lineRule="auto"/>
              <w:jc w:val="both"/>
              <w:rPr>
                <w:rFonts w:ascii="Times New Roman" w:eastAsia="Times New Roman" w:hAnsi="Times New Roman"/>
                <w:b/>
                <w:i/>
                <w:sz w:val="24"/>
                <w:szCs w:val="24"/>
              </w:rPr>
            </w:pPr>
            <w:r w:rsidRPr="00CA504F">
              <w:rPr>
                <w:rFonts w:ascii="Times New Roman" w:eastAsia="Times New Roman" w:hAnsi="Times New Roman"/>
                <w:b/>
                <w:i/>
                <w:sz w:val="24"/>
                <w:szCs w:val="24"/>
              </w:rPr>
              <w:t>98,83%</w:t>
            </w:r>
          </w:p>
        </w:tc>
      </w:tr>
    </w:tbl>
    <w:p w14:paraId="19F6741F" w14:textId="77777777" w:rsidR="000856FA" w:rsidRPr="00CA504F" w:rsidRDefault="000856FA" w:rsidP="000856FA">
      <w:pPr>
        <w:pStyle w:val="1"/>
        <w:spacing w:after="60"/>
        <w:ind w:firstLine="720"/>
        <w:jc w:val="right"/>
        <w:rPr>
          <w:b w:val="0"/>
          <w:i/>
          <w:sz w:val="24"/>
          <w:szCs w:val="28"/>
        </w:rPr>
      </w:pPr>
      <w:r w:rsidRPr="00CA504F">
        <w:rPr>
          <w:b w:val="0"/>
          <w:i/>
          <w:sz w:val="24"/>
          <w:szCs w:val="28"/>
        </w:rPr>
        <w:t>(Nguồn: Hệ thống quản lý chính sách TCS)</w:t>
      </w:r>
    </w:p>
    <w:p w14:paraId="038416F8" w14:textId="5EC3EFCD" w:rsidR="001553EF" w:rsidRPr="00CA504F" w:rsidRDefault="000856FA" w:rsidP="00893E29">
      <w:pPr>
        <w:pStyle w:val="1"/>
        <w:spacing w:after="120" w:line="267" w:lineRule="auto"/>
        <w:ind w:firstLine="709"/>
        <w:jc w:val="both"/>
        <w:outlineLvl w:val="0"/>
        <w:rPr>
          <w:b w:val="0"/>
          <w:sz w:val="28"/>
          <w:szCs w:val="28"/>
        </w:rPr>
      </w:pPr>
      <w:r w:rsidRPr="00CA504F">
        <w:rPr>
          <w:b w:val="0"/>
          <w:sz w:val="28"/>
          <w:szCs w:val="28"/>
        </w:rPr>
        <w:t xml:space="preserve">Với số liệu thống kê tại bảng trên cho thấy đa số người hưởng BHXH một lần là </w:t>
      </w:r>
      <w:r w:rsidR="00912296" w:rsidRPr="00CA504F">
        <w:rPr>
          <w:b w:val="0"/>
          <w:bCs/>
          <w:sz w:val="28"/>
          <w:szCs w:val="28"/>
        </w:rPr>
        <w:t>người lao động</w:t>
      </w:r>
      <w:r w:rsidRPr="00CA504F">
        <w:rPr>
          <w:b w:val="0"/>
          <w:sz w:val="28"/>
          <w:szCs w:val="28"/>
        </w:rPr>
        <w:t xml:space="preserve"> ngừng đóng BHXH sau một năm (chiếm 98,83% tổng số người hưởng BHXH một lần giai đoạn </w:t>
      </w:r>
      <w:r w:rsidR="00A30F6D" w:rsidRPr="00CA504F">
        <w:rPr>
          <w:b w:val="0"/>
          <w:sz w:val="28"/>
          <w:szCs w:val="28"/>
        </w:rPr>
        <w:t>2016-2022</w:t>
      </w:r>
      <w:r w:rsidRPr="00CA504F">
        <w:rPr>
          <w:b w:val="0"/>
          <w:sz w:val="28"/>
          <w:szCs w:val="28"/>
        </w:rPr>
        <w:t xml:space="preserve">). Số người hưởng BHXH một lần khi đến tuổi về hưu nhưng chưa đủ số năm đóng BHXH tối thiểu chiếm rất ít, chỉ chiếm có 0,79% giai đoạn </w:t>
      </w:r>
      <w:r w:rsidR="00A30F6D" w:rsidRPr="00CA504F">
        <w:rPr>
          <w:b w:val="0"/>
          <w:sz w:val="28"/>
          <w:szCs w:val="28"/>
        </w:rPr>
        <w:t>2016-2022</w:t>
      </w:r>
      <w:r w:rsidRPr="00CA504F">
        <w:rPr>
          <w:b w:val="0"/>
          <w:sz w:val="28"/>
          <w:szCs w:val="28"/>
        </w:rPr>
        <w:t>. Điều này cho thấy việc khuyến khích người lao động bảo lưu thời gian đóng BHXH không đạt được</w:t>
      </w:r>
      <w:r w:rsidR="00FB7E86" w:rsidRPr="00CA504F">
        <w:rPr>
          <w:b w:val="0"/>
          <w:sz w:val="28"/>
          <w:szCs w:val="28"/>
        </w:rPr>
        <w:t xml:space="preserve"> mục tiêu</w:t>
      </w:r>
      <w:r w:rsidRPr="00CA504F">
        <w:rPr>
          <w:b w:val="0"/>
          <w:sz w:val="28"/>
          <w:szCs w:val="28"/>
        </w:rPr>
        <w:t xml:space="preserve"> như mong muốn.</w:t>
      </w:r>
    </w:p>
    <w:p w14:paraId="56C3633C" w14:textId="23301717" w:rsidR="00B911BC" w:rsidRPr="00CA504F" w:rsidRDefault="00CD44A2" w:rsidP="00BC202A">
      <w:pPr>
        <w:pStyle w:val="1"/>
        <w:spacing w:after="120" w:line="267" w:lineRule="auto"/>
        <w:ind w:firstLine="709"/>
        <w:jc w:val="both"/>
        <w:rPr>
          <w:sz w:val="28"/>
          <w:szCs w:val="28"/>
          <w:lang w:val="pt-BR"/>
        </w:rPr>
      </w:pPr>
      <w:r w:rsidRPr="00CA504F">
        <w:rPr>
          <w:sz w:val="28"/>
          <w:szCs w:val="28"/>
          <w:lang w:val="pt-BR"/>
        </w:rPr>
        <w:t xml:space="preserve">2. </w:t>
      </w:r>
      <w:r w:rsidR="00662716" w:rsidRPr="00CA504F">
        <w:rPr>
          <w:sz w:val="28"/>
          <w:szCs w:val="28"/>
          <w:lang w:val="pt-BR"/>
        </w:rPr>
        <w:t>Nguyên nhân</w:t>
      </w:r>
    </w:p>
    <w:p w14:paraId="698A66BA" w14:textId="75895C65" w:rsidR="00374D45" w:rsidRPr="00CA504F" w:rsidRDefault="00374D45" w:rsidP="00BC202A">
      <w:pPr>
        <w:spacing w:after="120" w:line="267" w:lineRule="auto"/>
        <w:ind w:firstLine="709"/>
        <w:jc w:val="both"/>
        <w:rPr>
          <w:rFonts w:ascii="Times New Roman" w:eastAsia="Times New Roman" w:hAnsi="Times New Roman"/>
          <w:sz w:val="28"/>
          <w:szCs w:val="28"/>
          <w:lang w:eastAsia="x-none"/>
        </w:rPr>
      </w:pPr>
      <w:r w:rsidRPr="00CA504F">
        <w:rPr>
          <w:rFonts w:ascii="Times New Roman" w:eastAsia="Times New Roman" w:hAnsi="Times New Roman"/>
          <w:sz w:val="28"/>
          <w:szCs w:val="28"/>
          <w:lang w:eastAsia="x-none"/>
        </w:rPr>
        <w:t>C</w:t>
      </w:r>
      <w:r w:rsidRPr="00CA504F">
        <w:rPr>
          <w:rFonts w:ascii="Times New Roman" w:eastAsia="Times New Roman" w:hAnsi="Times New Roman"/>
          <w:sz w:val="28"/>
          <w:szCs w:val="28"/>
          <w:lang w:val="x-none" w:eastAsia="x-none"/>
        </w:rPr>
        <w:t>ó nhiều nguyên nhân dẫn đến hưởng BHXH</w:t>
      </w:r>
      <w:r w:rsidRPr="00CA504F">
        <w:rPr>
          <w:rFonts w:ascii="Times New Roman" w:eastAsia="Times New Roman" w:hAnsi="Times New Roman"/>
          <w:sz w:val="28"/>
          <w:szCs w:val="28"/>
          <w:lang w:eastAsia="x-none"/>
        </w:rPr>
        <w:t xml:space="preserve"> </w:t>
      </w:r>
      <w:r w:rsidRPr="00CA504F">
        <w:rPr>
          <w:rFonts w:ascii="Times New Roman" w:eastAsia="Times New Roman" w:hAnsi="Times New Roman"/>
          <w:sz w:val="28"/>
          <w:szCs w:val="28"/>
          <w:lang w:val="x-none" w:eastAsia="x-none"/>
        </w:rPr>
        <w:t>một lần</w:t>
      </w:r>
      <w:r w:rsidRPr="00CA504F">
        <w:rPr>
          <w:rFonts w:ascii="Times New Roman" w:eastAsia="Times New Roman" w:hAnsi="Times New Roman"/>
          <w:sz w:val="28"/>
          <w:szCs w:val="28"/>
          <w:lang w:eastAsia="x-none"/>
        </w:rPr>
        <w:t xml:space="preserve">, tuy nhiên có thể </w:t>
      </w:r>
      <w:r w:rsidR="00E07AF2" w:rsidRPr="00CA504F">
        <w:rPr>
          <w:rFonts w:ascii="Times New Roman" w:eastAsia="Times New Roman" w:hAnsi="Times New Roman"/>
          <w:sz w:val="28"/>
          <w:szCs w:val="28"/>
          <w:lang w:eastAsia="x-none"/>
        </w:rPr>
        <w:t xml:space="preserve">khái quát </w:t>
      </w:r>
      <w:r w:rsidRPr="00CA504F">
        <w:rPr>
          <w:rFonts w:ascii="Times New Roman" w:eastAsia="Times New Roman" w:hAnsi="Times New Roman"/>
          <w:sz w:val="28"/>
          <w:szCs w:val="28"/>
          <w:lang w:eastAsia="x-none"/>
        </w:rPr>
        <w:t xml:space="preserve">một số nguyên nhân </w:t>
      </w:r>
      <w:r w:rsidR="00E07AF2" w:rsidRPr="00CA504F">
        <w:rPr>
          <w:rFonts w:ascii="Times New Roman" w:eastAsia="Times New Roman" w:hAnsi="Times New Roman"/>
          <w:sz w:val="28"/>
          <w:szCs w:val="28"/>
          <w:lang w:eastAsia="x-none"/>
        </w:rPr>
        <w:t xml:space="preserve">chủ yếu </w:t>
      </w:r>
      <w:r w:rsidRPr="00CA504F">
        <w:rPr>
          <w:rFonts w:ascii="Times New Roman" w:eastAsia="Times New Roman" w:hAnsi="Times New Roman"/>
          <w:sz w:val="28"/>
          <w:szCs w:val="28"/>
          <w:lang w:eastAsia="x-none"/>
        </w:rPr>
        <w:t>như sau:</w:t>
      </w:r>
    </w:p>
    <w:p w14:paraId="007C352A" w14:textId="1025B081" w:rsidR="00E2691F" w:rsidRPr="00CA504F" w:rsidRDefault="00374D45" w:rsidP="00BC202A">
      <w:pPr>
        <w:spacing w:after="120" w:line="267" w:lineRule="auto"/>
        <w:ind w:right="1" w:firstLine="709"/>
        <w:jc w:val="both"/>
        <w:rPr>
          <w:rFonts w:ascii="Times New Roman" w:hAnsi="Times New Roman"/>
          <w:sz w:val="28"/>
          <w:szCs w:val="28"/>
        </w:rPr>
      </w:pPr>
      <w:r w:rsidRPr="00CA504F">
        <w:rPr>
          <w:rFonts w:ascii="Times New Roman" w:eastAsia="Times New Roman" w:hAnsi="Times New Roman"/>
          <w:b/>
          <w:i/>
          <w:sz w:val="28"/>
          <w:szCs w:val="28"/>
        </w:rPr>
        <w:t>Thứ nhất</w:t>
      </w:r>
      <w:r w:rsidRPr="00CA504F">
        <w:rPr>
          <w:rFonts w:ascii="Times New Roman" w:eastAsia="Times New Roman" w:hAnsi="Times New Roman"/>
          <w:sz w:val="28"/>
          <w:szCs w:val="28"/>
        </w:rPr>
        <w:t xml:space="preserve">, </w:t>
      </w:r>
      <w:r w:rsidR="00E2691F" w:rsidRPr="00CA504F">
        <w:rPr>
          <w:rFonts w:ascii="Times New Roman" w:eastAsia="Times New Roman" w:hAnsi="Times New Roman"/>
          <w:sz w:val="28"/>
          <w:szCs w:val="28"/>
        </w:rPr>
        <w:t xml:space="preserve">đa số </w:t>
      </w:r>
      <w:r w:rsidR="00E07AF2" w:rsidRPr="00CA504F">
        <w:rPr>
          <w:rFonts w:ascii="Times New Roman" w:eastAsia="Times New Roman" w:hAnsi="Times New Roman"/>
          <w:sz w:val="28"/>
          <w:szCs w:val="28"/>
          <w:lang w:eastAsia="x-none"/>
        </w:rPr>
        <w:t>người lao động</w:t>
      </w:r>
      <w:r w:rsidR="00E2691F" w:rsidRPr="00CA504F">
        <w:rPr>
          <w:rFonts w:ascii="Times New Roman" w:eastAsia="Times New Roman" w:hAnsi="Times New Roman"/>
          <w:sz w:val="28"/>
          <w:szCs w:val="28"/>
          <w:lang w:eastAsia="x-none"/>
        </w:rPr>
        <w:t xml:space="preserve"> làm việc trong các khu công nghiệp, có thu nhập thấp</w:t>
      </w:r>
      <w:r w:rsidR="000873D9" w:rsidRPr="00CA504F">
        <w:rPr>
          <w:rFonts w:ascii="Times New Roman" w:eastAsia="Times New Roman" w:hAnsi="Times New Roman"/>
          <w:sz w:val="28"/>
          <w:szCs w:val="28"/>
          <w:lang w:eastAsia="x-none"/>
        </w:rPr>
        <w:t>, khả năng tích lũy không nhiều</w:t>
      </w:r>
      <w:r w:rsidR="00202B37" w:rsidRPr="00CA504F">
        <w:rPr>
          <w:rFonts w:ascii="Times New Roman" w:eastAsia="Times New Roman" w:hAnsi="Times New Roman"/>
          <w:sz w:val="28"/>
          <w:szCs w:val="28"/>
          <w:lang w:eastAsia="x-none"/>
        </w:rPr>
        <w:t>, trình độ nhận thức và tuổi đời còn chưa cao</w:t>
      </w:r>
      <w:r w:rsidR="00423227" w:rsidRPr="00CA504F">
        <w:rPr>
          <w:rFonts w:ascii="Times New Roman" w:eastAsia="Times New Roman" w:hAnsi="Times New Roman"/>
          <w:sz w:val="28"/>
          <w:szCs w:val="28"/>
          <w:lang w:eastAsia="x-none"/>
        </w:rPr>
        <w:t xml:space="preserve">. Khi </w:t>
      </w:r>
      <w:r w:rsidR="00423227" w:rsidRPr="00CA504F">
        <w:rPr>
          <w:rFonts w:ascii="Times New Roman" w:eastAsia="Times New Roman" w:hAnsi="Times New Roman"/>
          <w:sz w:val="28"/>
          <w:szCs w:val="28"/>
        </w:rPr>
        <w:t>người lao động bị mất việc làm phải đối mặt với các nhu cầu tài chính trước mắt như cần tiền để chi tiêu sinh hoạt cho gia đình hoặc đầu tư cho con ăn học cho nên</w:t>
      </w:r>
      <w:r w:rsidR="00E2691F" w:rsidRPr="00CA504F">
        <w:rPr>
          <w:rFonts w:ascii="Times New Roman" w:eastAsia="Times New Roman" w:hAnsi="Times New Roman"/>
          <w:sz w:val="28"/>
          <w:szCs w:val="28"/>
          <w:lang w:eastAsia="x-none"/>
        </w:rPr>
        <w:t xml:space="preserve"> nhu cầu tài chính ngắn hạn của người lao động sau khi nghỉ việc rất lớn</w:t>
      </w:r>
      <w:r w:rsidR="00E2691F" w:rsidRPr="00CA504F">
        <w:rPr>
          <w:rStyle w:val="FootnoteReference"/>
          <w:rFonts w:ascii="Times New Roman" w:eastAsia="Times New Roman" w:hAnsi="Times New Roman"/>
          <w:sz w:val="28"/>
          <w:szCs w:val="28"/>
          <w:lang w:eastAsia="x-none"/>
        </w:rPr>
        <w:footnoteReference w:id="2"/>
      </w:r>
      <w:r w:rsidR="00423227" w:rsidRPr="00CA504F">
        <w:rPr>
          <w:rFonts w:ascii="Times New Roman" w:eastAsia="Times New Roman" w:hAnsi="Times New Roman"/>
          <w:sz w:val="28"/>
          <w:szCs w:val="28"/>
          <w:lang w:eastAsia="x-none"/>
        </w:rPr>
        <w:t xml:space="preserve">. </w:t>
      </w:r>
      <w:r w:rsidR="006B58EC" w:rsidRPr="00CA504F">
        <w:rPr>
          <w:rFonts w:ascii="Times New Roman" w:eastAsia="Times New Roman" w:hAnsi="Times New Roman"/>
          <w:sz w:val="28"/>
          <w:szCs w:val="28"/>
          <w:lang w:eastAsia="x-none"/>
        </w:rPr>
        <w:t>S</w:t>
      </w:r>
      <w:r w:rsidR="00E2691F" w:rsidRPr="00CA504F">
        <w:rPr>
          <w:rFonts w:ascii="Times New Roman" w:hAnsi="Times New Roman"/>
          <w:sz w:val="28"/>
          <w:szCs w:val="28"/>
        </w:rPr>
        <w:t xml:space="preserve">ố liệu </w:t>
      </w:r>
      <w:r w:rsidR="00E2691F" w:rsidRPr="00CA504F">
        <w:rPr>
          <w:rFonts w:ascii="Times New Roman" w:hAnsi="Times New Roman"/>
          <w:sz w:val="28"/>
          <w:szCs w:val="28"/>
        </w:rPr>
        <w:lastRenderedPageBreak/>
        <w:t xml:space="preserve">thống kê cho thấy, những người hưởng chế độ BHXH một lần tập trung ở độ tuổi từ 20 đến 40 chiếm </w:t>
      </w:r>
      <w:r w:rsidR="00912296" w:rsidRPr="00CA504F">
        <w:rPr>
          <w:rFonts w:ascii="Times New Roman" w:hAnsi="Times New Roman"/>
          <w:sz w:val="28"/>
          <w:szCs w:val="28"/>
        </w:rPr>
        <w:t>77</w:t>
      </w:r>
      <w:r w:rsidR="00E2691F" w:rsidRPr="00CA504F">
        <w:rPr>
          <w:rFonts w:ascii="Times New Roman" w:hAnsi="Times New Roman"/>
          <w:sz w:val="28"/>
          <w:szCs w:val="28"/>
        </w:rPr>
        <w:t>,</w:t>
      </w:r>
      <w:r w:rsidR="00912296" w:rsidRPr="00CA504F">
        <w:rPr>
          <w:rFonts w:ascii="Times New Roman" w:hAnsi="Times New Roman"/>
          <w:sz w:val="28"/>
          <w:szCs w:val="28"/>
        </w:rPr>
        <w:t>5</w:t>
      </w:r>
      <w:r w:rsidR="00E2691F" w:rsidRPr="00CA504F">
        <w:rPr>
          <w:rFonts w:ascii="Times New Roman" w:hAnsi="Times New Roman"/>
          <w:sz w:val="28"/>
          <w:szCs w:val="28"/>
        </w:rPr>
        <w:t xml:space="preserve">% </w:t>
      </w:r>
      <w:r w:rsidR="00912296" w:rsidRPr="00CA504F">
        <w:rPr>
          <w:rFonts w:ascii="Times New Roman" w:hAnsi="Times New Roman"/>
          <w:sz w:val="28"/>
          <w:szCs w:val="28"/>
        </w:rPr>
        <w:t xml:space="preserve">số lượt </w:t>
      </w:r>
      <w:r w:rsidR="00E2691F" w:rsidRPr="00CA504F">
        <w:rPr>
          <w:rFonts w:ascii="Times New Roman" w:hAnsi="Times New Roman"/>
          <w:sz w:val="28"/>
          <w:szCs w:val="28"/>
        </w:rPr>
        <w:t xml:space="preserve">người hưởng. </w:t>
      </w:r>
      <w:r w:rsidR="00CB12FD" w:rsidRPr="00CA504F">
        <w:rPr>
          <w:rFonts w:ascii="Times New Roman" w:hAnsi="Times New Roman"/>
          <w:sz w:val="28"/>
          <w:szCs w:val="28"/>
        </w:rPr>
        <w:t>H</w:t>
      </w:r>
      <w:r w:rsidR="00E2691F" w:rsidRPr="00CA504F">
        <w:rPr>
          <w:rFonts w:ascii="Times New Roman" w:hAnsi="Times New Roman"/>
          <w:sz w:val="28"/>
          <w:szCs w:val="28"/>
        </w:rPr>
        <w:t>ầu hết lao động trẻ quan tâm nhiều đến nhu cầu trước mắt hơn là nhu cầu hưởng lương hưu khi về già</w:t>
      </w:r>
      <w:r w:rsidR="00CB12FD" w:rsidRPr="00CA504F">
        <w:rPr>
          <w:rFonts w:ascii="Times New Roman" w:hAnsi="Times New Roman"/>
          <w:sz w:val="28"/>
          <w:szCs w:val="28"/>
        </w:rPr>
        <w:t>.</w:t>
      </w:r>
      <w:r w:rsidR="00E2691F" w:rsidRPr="00CA504F">
        <w:rPr>
          <w:rFonts w:ascii="Times New Roman" w:hAnsi="Times New Roman"/>
          <w:sz w:val="28"/>
          <w:szCs w:val="28"/>
        </w:rPr>
        <w:t xml:space="preserve"> </w:t>
      </w:r>
    </w:p>
    <w:p w14:paraId="37CA417B" w14:textId="3EE9AB89" w:rsidR="006B58EC" w:rsidRPr="00CA504F" w:rsidRDefault="006B58EC" w:rsidP="00BC202A">
      <w:pPr>
        <w:pStyle w:val="ListParagraph"/>
        <w:spacing w:after="120" w:line="267" w:lineRule="auto"/>
        <w:ind w:left="0" w:firstLine="720"/>
        <w:jc w:val="both"/>
        <w:rPr>
          <w:rFonts w:ascii="Times New Roman" w:hAnsi="Times New Roman"/>
          <w:sz w:val="28"/>
          <w:szCs w:val="28"/>
        </w:rPr>
      </w:pPr>
      <w:r w:rsidRPr="00CA504F">
        <w:rPr>
          <w:rFonts w:ascii="Times New Roman" w:hAnsi="Times New Roman"/>
          <w:sz w:val="28"/>
          <w:szCs w:val="28"/>
        </w:rPr>
        <w:t xml:space="preserve">Bên cạnh đó, nhiều người lao động vẫn coi phần đóng góp BHXH của người sử dụng lao động như một khoản phúc lợi lớn từ việc làm ở khu vực chính thức, mà không coi đó </w:t>
      </w:r>
      <w:r w:rsidR="00825464" w:rsidRPr="00CA504F">
        <w:rPr>
          <w:rFonts w:ascii="Times New Roman" w:hAnsi="Times New Roman"/>
          <w:sz w:val="28"/>
          <w:szCs w:val="28"/>
        </w:rPr>
        <w:t>là khoản đóng góp mà nhà nước yêu cầu người sử dụng lao động phải có trách nhiệm trong quá trình người lao động làm việc cho mình (đây cũng là trách nhiệm xã hội của doanh nghiệp) để</w:t>
      </w:r>
      <w:r w:rsidRPr="00CA504F">
        <w:rPr>
          <w:rFonts w:ascii="Times New Roman" w:hAnsi="Times New Roman"/>
          <w:sz w:val="28"/>
          <w:szCs w:val="28"/>
        </w:rPr>
        <w:t xml:space="preserve"> bảo vệ </w:t>
      </w:r>
      <w:r w:rsidR="00825464" w:rsidRPr="00CA504F">
        <w:rPr>
          <w:rFonts w:ascii="Times New Roman" w:hAnsi="Times New Roman"/>
          <w:sz w:val="28"/>
          <w:szCs w:val="28"/>
        </w:rPr>
        <w:t xml:space="preserve">người lao động </w:t>
      </w:r>
      <w:r w:rsidRPr="00CA504F">
        <w:rPr>
          <w:rFonts w:ascii="Times New Roman" w:hAnsi="Times New Roman"/>
          <w:sz w:val="28"/>
          <w:szCs w:val="28"/>
        </w:rPr>
        <w:t>khi về già</w:t>
      </w:r>
      <w:r w:rsidR="00825464" w:rsidRPr="00CA504F">
        <w:rPr>
          <w:rFonts w:ascii="Times New Roman" w:hAnsi="Times New Roman"/>
          <w:sz w:val="28"/>
          <w:szCs w:val="28"/>
        </w:rPr>
        <w:t xml:space="preserve">, không còn khả năng lao động, không có thu nhập </w:t>
      </w:r>
      <w:r w:rsidRPr="00CA504F">
        <w:rPr>
          <w:rFonts w:ascii="Times New Roman" w:hAnsi="Times New Roman"/>
          <w:sz w:val="28"/>
          <w:szCs w:val="28"/>
        </w:rPr>
        <w:t>thông qua việc hưởng chế độ hưu trí định kỳ hàng tháng. Do đó</w:t>
      </w:r>
      <w:r w:rsidR="00825464" w:rsidRPr="00CA504F">
        <w:rPr>
          <w:rFonts w:ascii="Times New Roman" w:hAnsi="Times New Roman"/>
          <w:sz w:val="28"/>
          <w:szCs w:val="28"/>
        </w:rPr>
        <w:t>,</w:t>
      </w:r>
      <w:r w:rsidRPr="00CA504F">
        <w:rPr>
          <w:rFonts w:ascii="Times New Roman" w:hAnsi="Times New Roman"/>
          <w:sz w:val="28"/>
          <w:szCs w:val="28"/>
        </w:rPr>
        <w:t xml:space="preserve"> </w:t>
      </w:r>
      <w:r w:rsidR="00825464" w:rsidRPr="00CA504F">
        <w:rPr>
          <w:rFonts w:ascii="Times New Roman" w:hAnsi="Times New Roman"/>
          <w:sz w:val="28"/>
          <w:szCs w:val="28"/>
        </w:rPr>
        <w:t xml:space="preserve">mỗi </w:t>
      </w:r>
      <w:r w:rsidRPr="00CA504F">
        <w:rPr>
          <w:rFonts w:ascii="Times New Roman" w:hAnsi="Times New Roman"/>
          <w:sz w:val="28"/>
          <w:szCs w:val="28"/>
        </w:rPr>
        <w:t xml:space="preserve">khi có dịp được hưởng “khoản phúc lợi lớn” này, người lao động </w:t>
      </w:r>
      <w:r w:rsidR="00825464" w:rsidRPr="00CA504F">
        <w:rPr>
          <w:rFonts w:ascii="Times New Roman" w:hAnsi="Times New Roman"/>
          <w:sz w:val="28"/>
          <w:szCs w:val="28"/>
        </w:rPr>
        <w:t>thường</w:t>
      </w:r>
      <w:r w:rsidRPr="00CA504F">
        <w:rPr>
          <w:rFonts w:ascii="Times New Roman" w:hAnsi="Times New Roman"/>
          <w:sz w:val="28"/>
          <w:szCs w:val="28"/>
        </w:rPr>
        <w:t xml:space="preserve"> “tận dụng” ngay. </w:t>
      </w:r>
    </w:p>
    <w:p w14:paraId="2BFBA304" w14:textId="43C6ED3C" w:rsidR="00001104" w:rsidRPr="00CA504F" w:rsidRDefault="00001104" w:rsidP="00BC202A">
      <w:pPr>
        <w:pStyle w:val="1"/>
        <w:spacing w:after="120" w:line="267" w:lineRule="auto"/>
        <w:ind w:firstLine="709"/>
        <w:jc w:val="both"/>
        <w:rPr>
          <w:b w:val="0"/>
          <w:sz w:val="28"/>
          <w:szCs w:val="28"/>
        </w:rPr>
      </w:pPr>
      <w:r w:rsidRPr="00CA504F">
        <w:rPr>
          <w:i/>
          <w:sz w:val="28"/>
          <w:szCs w:val="28"/>
        </w:rPr>
        <w:t>Thứ hai</w:t>
      </w:r>
      <w:r w:rsidRPr="00CA504F">
        <w:rPr>
          <w:b w:val="0"/>
          <w:sz w:val="28"/>
          <w:szCs w:val="28"/>
        </w:rPr>
        <w:t xml:space="preserve">, tình hình sản xuất kinh doanh của doanh nghiệp gặp khó khăn, đặc biệt là trong </w:t>
      </w:r>
      <w:r w:rsidR="00CB12FD" w:rsidRPr="00CA504F">
        <w:rPr>
          <w:b w:val="0"/>
          <w:sz w:val="28"/>
          <w:szCs w:val="28"/>
        </w:rPr>
        <w:t>giai đoạn 2020-2021</w:t>
      </w:r>
      <w:r w:rsidRPr="00CA504F">
        <w:rPr>
          <w:b w:val="0"/>
          <w:sz w:val="28"/>
          <w:szCs w:val="28"/>
        </w:rPr>
        <w:t xml:space="preserve"> khi mà nền kinh tế bị ảnh hưởng nặng nền bởi dịch bệnh Covid -19. Nhiều doanh nghiệp, đặc biệt là các doanh nghiệp kinh doanh ở các ngành nghề</w:t>
      </w:r>
      <w:r w:rsidR="0040419F" w:rsidRPr="00CA504F">
        <w:rPr>
          <w:b w:val="0"/>
          <w:sz w:val="28"/>
          <w:szCs w:val="28"/>
        </w:rPr>
        <w:t xml:space="preserve"> sử dụng nhiều lao động,</w:t>
      </w:r>
      <w:r w:rsidRPr="00CA504F">
        <w:rPr>
          <w:b w:val="0"/>
          <w:sz w:val="28"/>
          <w:szCs w:val="28"/>
        </w:rPr>
        <w:t xml:space="preserve"> bị ảnh hưởng lớn như</w:t>
      </w:r>
      <w:r w:rsidR="0040419F" w:rsidRPr="00CA504F">
        <w:rPr>
          <w:b w:val="0"/>
          <w:sz w:val="28"/>
          <w:szCs w:val="28"/>
        </w:rPr>
        <w:t>:</w:t>
      </w:r>
      <w:r w:rsidRPr="00CA504F">
        <w:rPr>
          <w:b w:val="0"/>
          <w:sz w:val="28"/>
          <w:szCs w:val="28"/>
        </w:rPr>
        <w:t xml:space="preserve"> du lịch, khách sạn, vận tải, giáo dục, may mặc… ngừng hoạt động hoặc sản xuất, kinh doanh cầm chừng. Năm 2020 có khoảng 60%</w:t>
      </w:r>
      <w:r w:rsidR="00251742" w:rsidRPr="00CA504F">
        <w:rPr>
          <w:b w:val="0"/>
          <w:sz w:val="28"/>
          <w:szCs w:val="28"/>
        </w:rPr>
        <w:t xml:space="preserve"> - </w:t>
      </w:r>
      <w:r w:rsidRPr="00CA504F">
        <w:rPr>
          <w:b w:val="0"/>
          <w:sz w:val="28"/>
          <w:szCs w:val="28"/>
        </w:rPr>
        <w:t xml:space="preserve">80% </w:t>
      </w:r>
      <w:r w:rsidR="00E07AF2" w:rsidRPr="00CA504F">
        <w:rPr>
          <w:b w:val="0"/>
          <w:sz w:val="28"/>
          <w:szCs w:val="28"/>
        </w:rPr>
        <w:t xml:space="preserve">người lao động </w:t>
      </w:r>
      <w:r w:rsidRPr="00CA504F">
        <w:rPr>
          <w:b w:val="0"/>
          <w:sz w:val="28"/>
          <w:szCs w:val="28"/>
        </w:rPr>
        <w:t>làm việc trong ngành du lịch, dịch vụ, khách sạn, nhà hàng tạm thời mất việc làm. Tình trạng lao động thiếu việc làm, không có việc làm, mất việc làm gia tăng, số lao động mất việc làm không có cơ hội tái tham gia thị trường lao động là nguyên nhân làm gia tăng số người hưởng BHXH một lần.</w:t>
      </w:r>
    </w:p>
    <w:p w14:paraId="68E172BD" w14:textId="47A51902" w:rsidR="00001104" w:rsidRPr="00CA504F" w:rsidRDefault="00001104">
      <w:pPr>
        <w:spacing w:after="120"/>
        <w:ind w:right="1" w:firstLine="709"/>
        <w:jc w:val="both"/>
        <w:rPr>
          <w:rFonts w:ascii="Times New Roman" w:hAnsi="Times New Roman"/>
          <w:sz w:val="28"/>
          <w:szCs w:val="28"/>
        </w:rPr>
      </w:pPr>
      <w:r w:rsidRPr="00CA504F">
        <w:rPr>
          <w:rFonts w:ascii="Times New Roman" w:hAnsi="Times New Roman"/>
          <w:sz w:val="28"/>
          <w:szCs w:val="28"/>
        </w:rPr>
        <w:t xml:space="preserve">Bên cạnh đó, việc chấp hành chính sách pháp luật về BHXH, BHTN của một số đơn vị sử dụng lao động còn chưa nghiêm; thiếu quan tâm đến quyền lợi của người lao động nên người lao động không được hưởng đầy đủ các chế độ, nên không muốn gắn bó với hệ thống BHXH. Tình trạng nhiều doanh nghiệp thu hẹp quy mô sản xuất, kinh doanh dẫn đến cắt giảm lao động, "thải loại" công nhân </w:t>
      </w:r>
      <w:r w:rsidR="0040419F" w:rsidRPr="00CA504F">
        <w:rPr>
          <w:rFonts w:ascii="Times New Roman" w:hAnsi="Times New Roman"/>
          <w:sz w:val="28"/>
          <w:szCs w:val="28"/>
        </w:rPr>
        <w:t>từ 35-40 tuổi trở lên</w:t>
      </w:r>
      <w:r w:rsidRPr="00CA504F">
        <w:rPr>
          <w:rFonts w:ascii="Times New Roman" w:hAnsi="Times New Roman"/>
          <w:sz w:val="28"/>
          <w:szCs w:val="28"/>
        </w:rPr>
        <w:t xml:space="preserve"> khiến</w:t>
      </w:r>
      <w:r w:rsidR="007A14B4" w:rsidRPr="00CA504F">
        <w:rPr>
          <w:rFonts w:ascii="Times New Roman" w:hAnsi="Times New Roman"/>
          <w:sz w:val="28"/>
          <w:szCs w:val="28"/>
        </w:rPr>
        <w:t xml:space="preserve"> nhiều</w:t>
      </w:r>
      <w:r w:rsidRPr="00CA504F">
        <w:rPr>
          <w:rFonts w:ascii="Times New Roman" w:hAnsi="Times New Roman"/>
          <w:sz w:val="28"/>
          <w:szCs w:val="28"/>
        </w:rPr>
        <w:t xml:space="preserve"> </w:t>
      </w:r>
      <w:r w:rsidR="00E07AF2" w:rsidRPr="00CA504F">
        <w:rPr>
          <w:rFonts w:ascii="Times New Roman" w:hAnsi="Times New Roman"/>
          <w:bCs/>
          <w:sz w:val="28"/>
          <w:szCs w:val="28"/>
        </w:rPr>
        <w:t xml:space="preserve">người lao động </w:t>
      </w:r>
      <w:r w:rsidRPr="00CA504F">
        <w:rPr>
          <w:rFonts w:ascii="Times New Roman" w:hAnsi="Times New Roman"/>
          <w:sz w:val="28"/>
          <w:szCs w:val="28"/>
        </w:rPr>
        <w:t>bị mất việc.</w:t>
      </w:r>
    </w:p>
    <w:p w14:paraId="2E749DD8" w14:textId="237DFA62" w:rsidR="00374D45" w:rsidRPr="00CA504F" w:rsidRDefault="00374D45">
      <w:pPr>
        <w:spacing w:after="120"/>
        <w:ind w:firstLine="709"/>
        <w:jc w:val="both"/>
        <w:rPr>
          <w:rFonts w:ascii="Times New Roman" w:eastAsia="Times New Roman" w:hAnsi="Times New Roman"/>
          <w:sz w:val="28"/>
          <w:szCs w:val="28"/>
        </w:rPr>
      </w:pPr>
      <w:r w:rsidRPr="00CA504F">
        <w:rPr>
          <w:rFonts w:ascii="Times New Roman" w:eastAsia="Times New Roman" w:hAnsi="Times New Roman"/>
          <w:b/>
          <w:i/>
          <w:sz w:val="28"/>
          <w:szCs w:val="28"/>
        </w:rPr>
        <w:t xml:space="preserve">Thứ </w:t>
      </w:r>
      <w:r w:rsidR="00001104" w:rsidRPr="00CA504F">
        <w:rPr>
          <w:rFonts w:ascii="Times New Roman" w:eastAsia="Times New Roman" w:hAnsi="Times New Roman"/>
          <w:b/>
          <w:i/>
          <w:sz w:val="28"/>
          <w:szCs w:val="28"/>
        </w:rPr>
        <w:t>ba</w:t>
      </w:r>
      <w:r w:rsidRPr="00CA504F">
        <w:rPr>
          <w:rFonts w:ascii="Times New Roman" w:eastAsia="Times New Roman" w:hAnsi="Times New Roman"/>
          <w:sz w:val="28"/>
          <w:szCs w:val="28"/>
        </w:rPr>
        <w:t xml:space="preserve">, thiếu </w:t>
      </w:r>
      <w:r w:rsidR="00001104" w:rsidRPr="00CA504F">
        <w:rPr>
          <w:rFonts w:ascii="Times New Roman" w:eastAsia="Times New Roman" w:hAnsi="Times New Roman"/>
          <w:sz w:val="28"/>
          <w:szCs w:val="28"/>
        </w:rPr>
        <w:t xml:space="preserve">sự liên kết, hỗ trợ từ </w:t>
      </w:r>
      <w:r w:rsidRPr="00CA504F">
        <w:rPr>
          <w:rFonts w:ascii="Times New Roman" w:eastAsia="Times New Roman" w:hAnsi="Times New Roman"/>
          <w:sz w:val="28"/>
          <w:szCs w:val="28"/>
        </w:rPr>
        <w:t>chính sách bảo hiểm thất nghiệp. Mục tiêu của chính sách bảo hiểm thất nghiệp là duy trì việc làm cho người lao động</w:t>
      </w:r>
      <w:r w:rsidR="007A14B4" w:rsidRPr="00CA504F">
        <w:rPr>
          <w:rFonts w:ascii="Times New Roman" w:eastAsia="Times New Roman" w:hAnsi="Times New Roman"/>
          <w:sz w:val="28"/>
          <w:szCs w:val="28"/>
        </w:rPr>
        <w:t xml:space="preserve"> (hỗ trợ tư vấn, giới thiệu việc làm; hỗ trợ học nghề; đào tạo, bồi dưỡng nâng cao kỹ năng nghề để chuyển đổi nghề nghiệp)</w:t>
      </w:r>
      <w:r w:rsidRPr="00CA504F">
        <w:rPr>
          <w:rFonts w:ascii="Times New Roman" w:eastAsia="Times New Roman" w:hAnsi="Times New Roman"/>
          <w:sz w:val="28"/>
          <w:szCs w:val="28"/>
        </w:rPr>
        <w:t>. Nếu thực hiện tốt chính sách bảo hiểm thất nghiệp cũng sẽ giải quyết được một phần bài toán về tài chính ngắn hạn để người lao động có thể yên tâm ổn định cuộc sống, thay vì tìm đến BHXH một lần như là một công cụ tài chính để vượt qua tình trạng khó khăn</w:t>
      </w:r>
      <w:r w:rsidR="00E07AF2" w:rsidRPr="00CA504F">
        <w:rPr>
          <w:rFonts w:ascii="Times New Roman" w:eastAsia="Times New Roman" w:hAnsi="Times New Roman"/>
          <w:sz w:val="28"/>
          <w:szCs w:val="28"/>
        </w:rPr>
        <w:t xml:space="preserve"> tài chính trước mắt</w:t>
      </w:r>
      <w:r w:rsidRPr="00CA504F">
        <w:rPr>
          <w:rFonts w:ascii="Times New Roman" w:eastAsia="Times New Roman" w:hAnsi="Times New Roman"/>
          <w:sz w:val="28"/>
          <w:szCs w:val="28"/>
        </w:rPr>
        <w:t>.</w:t>
      </w:r>
    </w:p>
    <w:p w14:paraId="4AD8419B" w14:textId="23BD4A67" w:rsidR="00374D45" w:rsidRPr="00CA504F" w:rsidRDefault="00374D45">
      <w:pPr>
        <w:spacing w:after="120"/>
        <w:ind w:right="1" w:firstLine="709"/>
        <w:jc w:val="both"/>
        <w:rPr>
          <w:rFonts w:ascii="Times New Roman" w:eastAsia="Times New Roman" w:hAnsi="Times New Roman"/>
          <w:sz w:val="28"/>
          <w:szCs w:val="28"/>
        </w:rPr>
      </w:pPr>
      <w:r w:rsidRPr="00CA504F">
        <w:rPr>
          <w:rFonts w:ascii="Times New Roman" w:eastAsia="Times New Roman" w:hAnsi="Times New Roman"/>
          <w:b/>
          <w:i/>
          <w:sz w:val="28"/>
          <w:szCs w:val="28"/>
        </w:rPr>
        <w:t xml:space="preserve">Thứ </w:t>
      </w:r>
      <w:r w:rsidR="00A2326D" w:rsidRPr="00CA504F">
        <w:rPr>
          <w:rFonts w:ascii="Times New Roman" w:eastAsia="Times New Roman" w:hAnsi="Times New Roman"/>
          <w:b/>
          <w:i/>
          <w:sz w:val="28"/>
          <w:szCs w:val="28"/>
        </w:rPr>
        <w:t>tư</w:t>
      </w:r>
      <w:r w:rsidRPr="00CA504F">
        <w:rPr>
          <w:rFonts w:ascii="Times New Roman" w:eastAsia="Times New Roman" w:hAnsi="Times New Roman"/>
          <w:sz w:val="28"/>
          <w:szCs w:val="28"/>
        </w:rPr>
        <w:t xml:space="preserve">, </w:t>
      </w:r>
      <w:r w:rsidRPr="00CA504F">
        <w:rPr>
          <w:rFonts w:ascii="Times New Roman" w:eastAsia="Times New Roman" w:hAnsi="Times New Roman"/>
          <w:spacing w:val="-4"/>
          <w:sz w:val="28"/>
          <w:szCs w:val="28"/>
        </w:rPr>
        <w:t xml:space="preserve">niềm tin của người dân vào hệ thống BHXH có </w:t>
      </w:r>
      <w:r w:rsidR="006B4EFE" w:rsidRPr="00CA504F">
        <w:rPr>
          <w:rFonts w:ascii="Times New Roman" w:eastAsia="Times New Roman" w:hAnsi="Times New Roman"/>
          <w:spacing w:val="-4"/>
          <w:sz w:val="28"/>
          <w:szCs w:val="28"/>
        </w:rPr>
        <w:t xml:space="preserve">dấu hiệu </w:t>
      </w:r>
      <w:r w:rsidRPr="00CA504F">
        <w:rPr>
          <w:rFonts w:ascii="Times New Roman" w:eastAsia="Times New Roman" w:hAnsi="Times New Roman"/>
          <w:spacing w:val="-4"/>
          <w:sz w:val="28"/>
          <w:szCs w:val="28"/>
        </w:rPr>
        <w:t xml:space="preserve">giảm sút. </w:t>
      </w:r>
      <w:r w:rsidRPr="00CA504F">
        <w:rPr>
          <w:rFonts w:ascii="Times New Roman" w:eastAsia="Times New Roman" w:hAnsi="Times New Roman"/>
          <w:sz w:val="28"/>
          <w:szCs w:val="28"/>
        </w:rPr>
        <w:t>Khả năng tiếp cận thông tin chính thống</w:t>
      </w:r>
      <w:r w:rsidR="006B4EFE" w:rsidRPr="00CA504F">
        <w:rPr>
          <w:rFonts w:ascii="Times New Roman" w:eastAsia="Times New Roman" w:hAnsi="Times New Roman"/>
          <w:sz w:val="28"/>
          <w:szCs w:val="28"/>
        </w:rPr>
        <w:t xml:space="preserve"> của người lao động còn</w:t>
      </w:r>
      <w:r w:rsidRPr="00CA504F">
        <w:rPr>
          <w:rFonts w:ascii="Times New Roman" w:eastAsia="Times New Roman" w:hAnsi="Times New Roman"/>
          <w:sz w:val="28"/>
          <w:szCs w:val="28"/>
        </w:rPr>
        <w:t xml:space="preserve"> hạn chế, trong khi các nguồn tin không chính thống trên các trang mạng xã hội đã và đang ảnh hưởng đến tâm lý của người lao động (thông tin không đúng về vấn đề tài chính quỹ BHXH, </w:t>
      </w:r>
      <w:r w:rsidRPr="00CA504F">
        <w:rPr>
          <w:rFonts w:ascii="Times New Roman" w:eastAsia="Times New Roman" w:hAnsi="Times New Roman"/>
          <w:sz w:val="28"/>
          <w:szCs w:val="28"/>
        </w:rPr>
        <w:lastRenderedPageBreak/>
        <w:t>vấn đề về so sánh giữa việc gửi tiết kiệm</w:t>
      </w:r>
      <w:r w:rsidR="00E07AF2" w:rsidRPr="00CA504F">
        <w:rPr>
          <w:rFonts w:ascii="Times New Roman" w:eastAsia="Times New Roman" w:hAnsi="Times New Roman"/>
          <w:sz w:val="28"/>
          <w:szCs w:val="28"/>
        </w:rPr>
        <w:t xml:space="preserve">, bảo hiểm nhân thọ </w:t>
      </w:r>
      <w:r w:rsidRPr="00CA504F">
        <w:rPr>
          <w:rFonts w:ascii="Times New Roman" w:eastAsia="Times New Roman" w:hAnsi="Times New Roman"/>
          <w:sz w:val="28"/>
          <w:szCs w:val="28"/>
        </w:rPr>
        <w:t xml:space="preserve">với </w:t>
      </w:r>
      <w:r w:rsidR="00E07AF2" w:rsidRPr="00CA504F">
        <w:rPr>
          <w:rFonts w:ascii="Times New Roman" w:eastAsia="Times New Roman" w:hAnsi="Times New Roman"/>
          <w:sz w:val="28"/>
          <w:szCs w:val="28"/>
        </w:rPr>
        <w:t>bảo hiểm xã hội</w:t>
      </w:r>
      <w:r w:rsidRPr="00CA504F">
        <w:rPr>
          <w:rFonts w:ascii="Times New Roman" w:eastAsia="Times New Roman" w:hAnsi="Times New Roman"/>
          <w:sz w:val="28"/>
          <w:szCs w:val="28"/>
        </w:rPr>
        <w:t xml:space="preserve">,…), từ đó làm giảm niềm tin của người dân vào hệ thống BHXH. </w:t>
      </w:r>
      <w:r w:rsidR="006B58EC" w:rsidRPr="00CA504F">
        <w:rPr>
          <w:rFonts w:ascii="Times New Roman" w:eastAsia="Times New Roman" w:hAnsi="Times New Roman"/>
          <w:sz w:val="28"/>
          <w:szCs w:val="28"/>
        </w:rPr>
        <w:t>T</w:t>
      </w:r>
      <w:r w:rsidRPr="00CA504F">
        <w:rPr>
          <w:rFonts w:ascii="Times New Roman" w:eastAsia="Times New Roman" w:hAnsi="Times New Roman"/>
          <w:sz w:val="28"/>
          <w:szCs w:val="28"/>
        </w:rPr>
        <w:t>hiếu một chiến lược truyền thông tổng thể để định hướng dư luận, cung cấp thông tin đầy đủ, chính xác, để người lao động có được thông tin đầy đủ về chính sách trước khi đưa ra các quyết định chọn lựa của mình.</w:t>
      </w:r>
    </w:p>
    <w:p w14:paraId="5DF29704" w14:textId="7237D513" w:rsidR="006B58EC" w:rsidRPr="00CA504F" w:rsidRDefault="00374D45">
      <w:pPr>
        <w:spacing w:after="120"/>
        <w:ind w:firstLine="720"/>
        <w:jc w:val="both"/>
        <w:rPr>
          <w:rFonts w:ascii="Times New Roman" w:hAnsi="Times New Roman"/>
          <w:sz w:val="28"/>
          <w:szCs w:val="28"/>
        </w:rPr>
      </w:pPr>
      <w:r w:rsidRPr="00CA504F">
        <w:rPr>
          <w:rFonts w:ascii="Times New Roman" w:eastAsia="Times New Roman" w:hAnsi="Times New Roman"/>
          <w:b/>
          <w:i/>
          <w:sz w:val="28"/>
          <w:szCs w:val="28"/>
        </w:rPr>
        <w:t xml:space="preserve">Thứ </w:t>
      </w:r>
      <w:r w:rsidR="00A2326D" w:rsidRPr="00CA504F">
        <w:rPr>
          <w:rFonts w:ascii="Times New Roman" w:eastAsia="Times New Roman" w:hAnsi="Times New Roman"/>
          <w:b/>
          <w:i/>
          <w:sz w:val="28"/>
          <w:szCs w:val="28"/>
        </w:rPr>
        <w:t>năm</w:t>
      </w:r>
      <w:r w:rsidRPr="00CA504F">
        <w:rPr>
          <w:rFonts w:ascii="Times New Roman" w:eastAsia="Times New Roman" w:hAnsi="Times New Roman"/>
          <w:sz w:val="28"/>
          <w:szCs w:val="28"/>
        </w:rPr>
        <w:t xml:space="preserve">, </w:t>
      </w:r>
      <w:r w:rsidR="00A2326D" w:rsidRPr="00CA504F">
        <w:rPr>
          <w:rFonts w:ascii="Times New Roman" w:eastAsia="Times New Roman" w:hAnsi="Times New Roman"/>
          <w:sz w:val="28"/>
          <w:szCs w:val="28"/>
        </w:rPr>
        <w:t>q</w:t>
      </w:r>
      <w:r w:rsidRPr="00CA504F">
        <w:rPr>
          <w:rFonts w:ascii="Times New Roman" w:eastAsia="Times New Roman" w:hAnsi="Times New Roman"/>
          <w:sz w:val="28"/>
          <w:szCs w:val="28"/>
        </w:rPr>
        <w:t>uy định điều kiện về thời gian đóng góp tối thiểu 20 năm để hưởng lương hưu dẫn đến: (i) đa số người lao động khi nghỉ việc mới chỉ có từ 3 đến dưới 10 năm đóng góp sẽ rất khó để quyết định chờ đợi đóng tiếp để đủ điều kiện hưởng lương hưu; (ii) người lao động 45 hoặc 50 tuổi mới bắt đầu tham gia BHXH khó có cơ hội hưởng lương hưu.</w:t>
      </w:r>
      <w:r w:rsidR="006B58EC" w:rsidRPr="00CA504F">
        <w:rPr>
          <w:rFonts w:ascii="Times New Roman" w:eastAsia="Times New Roman" w:hAnsi="Times New Roman"/>
          <w:sz w:val="28"/>
          <w:szCs w:val="28"/>
        </w:rPr>
        <w:t xml:space="preserve"> Điều kiện này cùng với những khó khăn trong việc tìm kiếm, duy trì việc làm ở khu vực chính thức đã khiến những người lao động nản lòng trong quá trình theo đuổi đóng góp BHXH để </w:t>
      </w:r>
      <w:r w:rsidR="006B4EFE" w:rsidRPr="00CA504F">
        <w:rPr>
          <w:rFonts w:ascii="Times New Roman" w:eastAsia="Times New Roman" w:hAnsi="Times New Roman"/>
          <w:sz w:val="28"/>
          <w:szCs w:val="28"/>
        </w:rPr>
        <w:t xml:space="preserve">đủ điều kiện </w:t>
      </w:r>
      <w:r w:rsidR="006B58EC" w:rsidRPr="00CA504F">
        <w:rPr>
          <w:rFonts w:ascii="Times New Roman" w:eastAsia="Times New Roman" w:hAnsi="Times New Roman"/>
          <w:sz w:val="28"/>
          <w:szCs w:val="28"/>
        </w:rPr>
        <w:t xml:space="preserve">được hưởng </w:t>
      </w:r>
      <w:r w:rsidR="006B4EFE" w:rsidRPr="00CA504F">
        <w:rPr>
          <w:rFonts w:ascii="Times New Roman" w:eastAsia="Times New Roman" w:hAnsi="Times New Roman"/>
          <w:sz w:val="28"/>
          <w:szCs w:val="28"/>
        </w:rPr>
        <w:t xml:space="preserve">chế độ </w:t>
      </w:r>
      <w:r w:rsidR="006B58EC" w:rsidRPr="00CA504F">
        <w:rPr>
          <w:rFonts w:ascii="Times New Roman" w:eastAsia="Times New Roman" w:hAnsi="Times New Roman"/>
          <w:sz w:val="28"/>
          <w:szCs w:val="28"/>
        </w:rPr>
        <w:t xml:space="preserve">hưu trí trong tương lai khi về già. Bên cạnh đó, </w:t>
      </w:r>
      <w:r w:rsidR="006B58EC" w:rsidRPr="00CA504F">
        <w:rPr>
          <w:rFonts w:ascii="Times New Roman" w:hAnsi="Times New Roman"/>
          <w:sz w:val="28"/>
          <w:szCs w:val="28"/>
        </w:rPr>
        <w:t>việc điều chỉnh tăng trong cách tính mức hưởng BHXH một lần cho những năm đóng BHXH từ năm 2014 trở đi (từ 1,5 tháng mức bình quân tiền lương tháng lên 2 tháng đối với mỗi năm đóng BHXH) cũng có tác động đến việc hưởng BHXH một lần của người lao động.</w:t>
      </w:r>
    </w:p>
    <w:p w14:paraId="7013C3D9" w14:textId="4CF957CF" w:rsidR="00535EA3" w:rsidRPr="00CA504F" w:rsidRDefault="00535EA3">
      <w:pPr>
        <w:spacing w:after="120"/>
        <w:ind w:firstLine="720"/>
        <w:jc w:val="both"/>
        <w:rPr>
          <w:rFonts w:ascii="Times New Roman" w:eastAsia="Times New Roman" w:hAnsi="Times New Roman"/>
          <w:b/>
          <w:sz w:val="28"/>
          <w:szCs w:val="28"/>
        </w:rPr>
      </w:pPr>
      <w:r w:rsidRPr="00CA504F">
        <w:rPr>
          <w:rFonts w:ascii="Times New Roman" w:eastAsia="Times New Roman" w:hAnsi="Times New Roman"/>
          <w:b/>
          <w:sz w:val="24"/>
          <w:szCs w:val="28"/>
        </w:rPr>
        <w:t>III. TÁC ĐỘNG CỦA VIỆC HƯỞNG BHXH MỘT LẦN VÀ TIÊU CHUẨN, KINH NGHIỆM QUỐC TẾ</w:t>
      </w:r>
    </w:p>
    <w:p w14:paraId="75DD6133" w14:textId="511FF3DC" w:rsidR="002160FC" w:rsidRPr="00CA504F" w:rsidRDefault="00535EA3">
      <w:pPr>
        <w:spacing w:after="120"/>
        <w:ind w:firstLine="720"/>
        <w:jc w:val="both"/>
        <w:rPr>
          <w:rFonts w:ascii="Times New Roman" w:eastAsia="Times New Roman" w:hAnsi="Times New Roman"/>
          <w:b/>
          <w:sz w:val="28"/>
          <w:szCs w:val="28"/>
        </w:rPr>
      </w:pPr>
      <w:r w:rsidRPr="00CA504F">
        <w:rPr>
          <w:rFonts w:ascii="Times New Roman" w:eastAsia="Times New Roman" w:hAnsi="Times New Roman"/>
          <w:b/>
          <w:sz w:val="28"/>
          <w:szCs w:val="28"/>
        </w:rPr>
        <w:t>1</w:t>
      </w:r>
      <w:r w:rsidR="002160FC" w:rsidRPr="00CA504F">
        <w:rPr>
          <w:rFonts w:ascii="Times New Roman" w:eastAsia="Times New Roman" w:hAnsi="Times New Roman"/>
          <w:b/>
          <w:sz w:val="28"/>
          <w:szCs w:val="28"/>
        </w:rPr>
        <w:t xml:space="preserve">. </w:t>
      </w:r>
      <w:r w:rsidRPr="00CA504F">
        <w:rPr>
          <w:rFonts w:ascii="Times New Roman" w:eastAsia="Times New Roman" w:hAnsi="Times New Roman"/>
          <w:b/>
          <w:sz w:val="28"/>
          <w:szCs w:val="28"/>
        </w:rPr>
        <w:t xml:space="preserve">Tác động của </w:t>
      </w:r>
      <w:r w:rsidR="002160FC" w:rsidRPr="00CA504F">
        <w:rPr>
          <w:rFonts w:ascii="Times New Roman" w:eastAsia="Times New Roman" w:hAnsi="Times New Roman"/>
          <w:b/>
          <w:sz w:val="28"/>
          <w:szCs w:val="28"/>
        </w:rPr>
        <w:t>chính sách hưởng BHXH một lần</w:t>
      </w:r>
    </w:p>
    <w:p w14:paraId="5C7A1429" w14:textId="05A7CCC4" w:rsidR="002160FC" w:rsidRPr="00CA504F" w:rsidRDefault="002160FC">
      <w:pPr>
        <w:spacing w:after="120"/>
        <w:ind w:firstLine="720"/>
        <w:jc w:val="both"/>
        <w:rPr>
          <w:rFonts w:ascii="Times New Roman" w:eastAsia="Times New Roman" w:hAnsi="Times New Roman"/>
          <w:b/>
          <w:i/>
          <w:sz w:val="28"/>
          <w:szCs w:val="28"/>
        </w:rPr>
      </w:pPr>
      <w:r w:rsidRPr="00CA504F">
        <w:rPr>
          <w:rFonts w:ascii="Times New Roman" w:eastAsia="Times New Roman" w:hAnsi="Times New Roman"/>
          <w:b/>
          <w:i/>
          <w:sz w:val="28"/>
          <w:szCs w:val="28"/>
        </w:rPr>
        <w:t>a) Đối với mục tiêu của chính sách BHXH:</w:t>
      </w:r>
      <w:r w:rsidRPr="00CA504F">
        <w:rPr>
          <w:rFonts w:ascii="Times New Roman" w:eastAsia="Times New Roman" w:hAnsi="Times New Roman"/>
          <w:sz w:val="28"/>
          <w:szCs w:val="28"/>
        </w:rPr>
        <w:t xml:space="preserve"> Số người hưởng BHXH một lần gia tăng đồng nghĩa với mức độ bao phủ của hệ thống BHXH bị thu hẹp ở cả khía cạnh số người tham gia </w:t>
      </w:r>
      <w:r w:rsidR="008A1B4D" w:rsidRPr="00CA504F">
        <w:rPr>
          <w:rFonts w:ascii="Times New Roman" w:eastAsia="Times New Roman" w:hAnsi="Times New Roman"/>
          <w:sz w:val="28"/>
          <w:szCs w:val="28"/>
        </w:rPr>
        <w:t>BHXH và số người hưởng lương hưu</w:t>
      </w:r>
      <w:r w:rsidRPr="00CA504F">
        <w:rPr>
          <w:rFonts w:ascii="Times New Roman" w:eastAsia="Times New Roman" w:hAnsi="Times New Roman"/>
          <w:sz w:val="28"/>
          <w:szCs w:val="28"/>
        </w:rPr>
        <w:t>, từ đó không đạt được mục tiêu chính sách là “</w:t>
      </w:r>
      <w:r w:rsidRPr="00CA504F">
        <w:rPr>
          <w:rFonts w:ascii="Times New Roman" w:eastAsia="Times New Roman" w:hAnsi="Times New Roman"/>
          <w:i/>
          <w:sz w:val="28"/>
          <w:szCs w:val="28"/>
        </w:rPr>
        <w:t>bảo đảm thay thế hoặc bù đắp một phần thu nhập của người lao động khi họ bị giảm hoặc mất thu nhập do ốm đau, thai sản, tai nạn lao động, bệnh nghề nghiệp, hết tuổi lao động hoặc chết, trên cơ sở đóng vào quỹ bảo hiểm xã hội</w:t>
      </w:r>
      <w:r w:rsidRPr="00CA504F">
        <w:rPr>
          <w:rFonts w:ascii="Times New Roman" w:eastAsia="Times New Roman" w:hAnsi="Times New Roman"/>
          <w:sz w:val="28"/>
          <w:szCs w:val="28"/>
        </w:rPr>
        <w:t>”</w:t>
      </w:r>
      <w:r w:rsidRPr="00CA504F">
        <w:rPr>
          <w:rFonts w:ascii="Times New Roman" w:eastAsia="Times New Roman" w:hAnsi="Times New Roman"/>
          <w:sz w:val="28"/>
          <w:szCs w:val="28"/>
          <w:vertAlign w:val="superscript"/>
        </w:rPr>
        <w:footnoteReference w:id="3"/>
      </w:r>
      <w:r w:rsidRPr="00CA504F">
        <w:rPr>
          <w:rFonts w:ascii="Times New Roman" w:eastAsia="Times New Roman" w:hAnsi="Times New Roman"/>
          <w:sz w:val="28"/>
          <w:szCs w:val="28"/>
        </w:rPr>
        <w:t>. Đặc biệt, mức độ gia tăng số người hưởng BHXH một lần như hiện nay sẽ gây rất nhiều khó khăn cho việc hướng tới mục tiêu bảo hiểm xã hội toàn dân của Nghị quyết số 28-NQ/TW ngày 23 thán 5 năm 2018 của Hội nghị lần thứ VII Ban chấp hành Trung ương khoá XII về cải cách chính sách bảo hiểm xã hội là đến năm 2021 có khoảng 45% số người sau độ tuổi nghỉ hưu được hưởng lương hưu, bảo hiểm xã hội hằng tháng và trợ cấp hưu trí xã hội; đến năm 2015 có khoảng 55% số người sau độ tuổi nghỉ hưu được hưởng lương hưu, bảo hiểm xã hội hằng tháng và trợ cấp hưu trí xã hội; và đến năm 2030 có khoảng 60% số người sau độ tuổi nghỉ hưu được hưởng lương hưu, bảo hiểm xã hội hằng tháng và trợ cấp hưu trí xã hội.</w:t>
      </w:r>
    </w:p>
    <w:p w14:paraId="6FA266F4" w14:textId="14410241" w:rsidR="002160FC" w:rsidRPr="00CA504F" w:rsidRDefault="002160FC">
      <w:pPr>
        <w:spacing w:after="120"/>
        <w:ind w:firstLine="720"/>
        <w:jc w:val="both"/>
        <w:rPr>
          <w:rFonts w:ascii="Times New Roman" w:eastAsia="Times New Roman" w:hAnsi="Times New Roman"/>
          <w:sz w:val="28"/>
          <w:szCs w:val="28"/>
        </w:rPr>
      </w:pPr>
      <w:r w:rsidRPr="00CA504F">
        <w:rPr>
          <w:rFonts w:ascii="Times New Roman" w:eastAsia="Times New Roman" w:hAnsi="Times New Roman"/>
          <w:b/>
          <w:i/>
          <w:sz w:val="28"/>
          <w:szCs w:val="28"/>
        </w:rPr>
        <w:t>b) Đối với xã hội:</w:t>
      </w:r>
      <w:r w:rsidRPr="00CA504F">
        <w:rPr>
          <w:rFonts w:ascii="Times New Roman" w:eastAsia="Times New Roman" w:hAnsi="Times New Roman"/>
          <w:sz w:val="28"/>
          <w:szCs w:val="28"/>
        </w:rPr>
        <w:t xml:space="preserve"> Dân số Việt Nam đang già hóa rất nhanh, theo dự báo dân số của Tổng cục Thống kê với giả định mức sinh trung bình cho giai đoạn 2009-</w:t>
      </w:r>
      <w:r w:rsidRPr="00CA504F">
        <w:rPr>
          <w:rFonts w:ascii="Times New Roman" w:eastAsia="Times New Roman" w:hAnsi="Times New Roman"/>
          <w:sz w:val="28"/>
          <w:szCs w:val="28"/>
        </w:rPr>
        <w:lastRenderedPageBreak/>
        <w:t>2069, dân số cao tuổi từ 60 tuổi trở lên sẽ đạt 17,89 triệu người (chiếm 17,00% tổng dân số) vào năm 2030; 23,34 triệu người (chiếm 20,96% tổng dân số) vào năm 2040; 29,22 triệu người (chiếm 25,35% tổng dân số) vào năm 2050 và 31,48 triệu người (chiếm 26,97% tổng dân số) vào năm 2060</w:t>
      </w:r>
      <w:r w:rsidRPr="00CA504F">
        <w:rPr>
          <w:rFonts w:ascii="Times New Roman" w:eastAsia="Times New Roman" w:hAnsi="Times New Roman"/>
          <w:sz w:val="28"/>
          <w:szCs w:val="28"/>
          <w:vertAlign w:val="superscript"/>
        </w:rPr>
        <w:footnoteReference w:id="4"/>
      </w:r>
      <w:r w:rsidRPr="00CA504F">
        <w:rPr>
          <w:rFonts w:ascii="Times New Roman" w:eastAsia="Times New Roman" w:hAnsi="Times New Roman"/>
          <w:sz w:val="28"/>
          <w:szCs w:val="28"/>
        </w:rPr>
        <w:t>. Với tỷ lệ bao phủ BHXH hiện nay không cao và xu hướng hưởng BHXH một lần gia tăng sẽ tác động rất lớn đến tỷ lệ dân số già được hưởng hưu trí hàng tháng trong tương lai</w:t>
      </w:r>
      <w:r w:rsidR="008A1B4D" w:rsidRPr="00CA504F">
        <w:rPr>
          <w:rFonts w:ascii="Times New Roman" w:eastAsia="Times New Roman" w:hAnsi="Times New Roman"/>
          <w:sz w:val="28"/>
          <w:szCs w:val="28"/>
        </w:rPr>
        <w:t>,</w:t>
      </w:r>
      <w:r w:rsidRPr="00CA504F">
        <w:rPr>
          <w:rFonts w:ascii="Times New Roman" w:eastAsia="Times New Roman" w:hAnsi="Times New Roman"/>
          <w:sz w:val="28"/>
          <w:szCs w:val="28"/>
        </w:rPr>
        <w:t xml:space="preserve"> một tỷ lệ vốn đã thấp sẽ càng thấp hơn. Điều này có nghĩa là ngân sách Nhà nước sẽ phải chi nhiều hơn cho trợ cấp đối với người cao tuổi</w:t>
      </w:r>
      <w:r w:rsidR="008A1B4D" w:rsidRPr="00CA504F">
        <w:rPr>
          <w:rFonts w:ascii="Times New Roman" w:eastAsia="Times New Roman" w:hAnsi="Times New Roman"/>
          <w:sz w:val="28"/>
          <w:szCs w:val="28"/>
        </w:rPr>
        <w:t>,</w:t>
      </w:r>
      <w:r w:rsidRPr="00CA504F">
        <w:rPr>
          <w:rFonts w:ascii="Times New Roman" w:eastAsia="Times New Roman" w:hAnsi="Times New Roman"/>
          <w:sz w:val="28"/>
          <w:szCs w:val="28"/>
        </w:rPr>
        <w:t xml:space="preserve"> những người không có lương hưu, ngay cả khi không giảm độ tuổi được hưởng</w:t>
      </w:r>
      <w:r w:rsidR="008A1B4D" w:rsidRPr="00CA504F">
        <w:rPr>
          <w:rStyle w:val="FootnoteReference"/>
          <w:rFonts w:ascii="Times New Roman" w:eastAsia="Times New Roman" w:hAnsi="Times New Roman"/>
          <w:sz w:val="28"/>
          <w:szCs w:val="28"/>
        </w:rPr>
        <w:footnoteReference w:id="5"/>
      </w:r>
      <w:r w:rsidRPr="00CA504F">
        <w:rPr>
          <w:rFonts w:ascii="Times New Roman" w:eastAsia="Times New Roman" w:hAnsi="Times New Roman"/>
          <w:sz w:val="28"/>
          <w:szCs w:val="28"/>
        </w:rPr>
        <w:t xml:space="preserve">. </w:t>
      </w:r>
    </w:p>
    <w:p w14:paraId="4454830B" w14:textId="35AE0572" w:rsidR="002160FC" w:rsidRPr="00CA504F" w:rsidRDefault="002160FC">
      <w:pPr>
        <w:spacing w:after="120"/>
        <w:ind w:firstLine="720"/>
        <w:jc w:val="both"/>
        <w:rPr>
          <w:rFonts w:ascii="Times New Roman" w:eastAsia="Times New Roman" w:hAnsi="Times New Roman"/>
          <w:sz w:val="28"/>
          <w:szCs w:val="28"/>
        </w:rPr>
      </w:pPr>
      <w:r w:rsidRPr="00CA504F">
        <w:rPr>
          <w:rFonts w:ascii="Times New Roman" w:eastAsia="Times New Roman" w:hAnsi="Times New Roman"/>
          <w:b/>
          <w:i/>
          <w:sz w:val="28"/>
          <w:szCs w:val="28"/>
        </w:rPr>
        <w:t>c) Đối với cá nhân người lao động:</w:t>
      </w:r>
      <w:r w:rsidRPr="00CA504F">
        <w:rPr>
          <w:rFonts w:ascii="Times New Roman" w:eastAsia="Times New Roman" w:hAnsi="Times New Roman"/>
          <w:sz w:val="28"/>
          <w:szCs w:val="28"/>
        </w:rPr>
        <w:t xml:space="preserve"> </w:t>
      </w:r>
      <w:r w:rsidR="008A1B4D" w:rsidRPr="00CA504F">
        <w:rPr>
          <w:rFonts w:ascii="Times New Roman" w:eastAsia="Times New Roman" w:hAnsi="Times New Roman"/>
          <w:sz w:val="28"/>
          <w:szCs w:val="28"/>
        </w:rPr>
        <w:t>việc người lao động h</w:t>
      </w:r>
      <w:r w:rsidRPr="00CA504F">
        <w:rPr>
          <w:rFonts w:ascii="Times New Roman" w:eastAsia="Times New Roman" w:hAnsi="Times New Roman"/>
          <w:sz w:val="28"/>
          <w:szCs w:val="28"/>
        </w:rPr>
        <w:t xml:space="preserve">ưởng BHXH một lần sau </w:t>
      </w:r>
      <w:r w:rsidR="008A1B4D" w:rsidRPr="00CA504F">
        <w:rPr>
          <w:rFonts w:ascii="Times New Roman" w:eastAsia="Times New Roman" w:hAnsi="Times New Roman"/>
          <w:sz w:val="28"/>
          <w:szCs w:val="28"/>
        </w:rPr>
        <w:t xml:space="preserve">một năm nghỉ việc </w:t>
      </w:r>
      <w:r w:rsidR="00535EA3" w:rsidRPr="00CA504F">
        <w:rPr>
          <w:rFonts w:ascii="Times New Roman" w:eastAsia="Times New Roman" w:hAnsi="Times New Roman"/>
          <w:sz w:val="28"/>
          <w:szCs w:val="28"/>
        </w:rPr>
        <w:t xml:space="preserve">sẽ ảnh hưởng đến việc </w:t>
      </w:r>
      <w:r w:rsidRPr="00CA504F">
        <w:rPr>
          <w:rFonts w:ascii="Times New Roman" w:eastAsia="Times New Roman" w:hAnsi="Times New Roman"/>
          <w:sz w:val="28"/>
          <w:szCs w:val="28"/>
        </w:rPr>
        <w:t>tích lũy quá trình đóng góp cần thiết để đủ điều kiện hưởng lương hưu hàng tháng</w:t>
      </w:r>
      <w:r w:rsidR="00535EA3" w:rsidRPr="00CA504F">
        <w:rPr>
          <w:rFonts w:ascii="Times New Roman" w:eastAsia="Times New Roman" w:hAnsi="Times New Roman"/>
          <w:sz w:val="28"/>
          <w:szCs w:val="28"/>
        </w:rPr>
        <w:t>, làm giảm cơ hội được hưởng lương hưu khi về già</w:t>
      </w:r>
      <w:r w:rsidRPr="00CA504F">
        <w:rPr>
          <w:rFonts w:ascii="Times New Roman" w:eastAsia="Times New Roman" w:hAnsi="Times New Roman"/>
          <w:sz w:val="28"/>
          <w:szCs w:val="28"/>
        </w:rPr>
        <w:t xml:space="preserve">. Không được hưởng </w:t>
      </w:r>
      <w:r w:rsidR="00535EA3" w:rsidRPr="00CA504F">
        <w:rPr>
          <w:rFonts w:ascii="Times New Roman" w:eastAsia="Times New Roman" w:hAnsi="Times New Roman"/>
          <w:sz w:val="28"/>
          <w:szCs w:val="28"/>
        </w:rPr>
        <w:t>lương hưu</w:t>
      </w:r>
      <w:r w:rsidRPr="00CA504F">
        <w:rPr>
          <w:rFonts w:ascii="Times New Roman" w:eastAsia="Times New Roman" w:hAnsi="Times New Roman"/>
          <w:sz w:val="28"/>
          <w:szCs w:val="28"/>
        </w:rPr>
        <w:t xml:space="preserve"> đồng nghĩa với việc không được hưởng bảo hiểm y tế </w:t>
      </w:r>
      <w:r w:rsidR="00535EA3" w:rsidRPr="00CA504F">
        <w:rPr>
          <w:rFonts w:ascii="Times New Roman" w:eastAsia="Times New Roman" w:hAnsi="Times New Roman"/>
          <w:sz w:val="28"/>
          <w:szCs w:val="28"/>
        </w:rPr>
        <w:t>do quỹ bảo hiểm xã hội đóng cho người lao động, điều này</w:t>
      </w:r>
      <w:r w:rsidRPr="00CA504F">
        <w:rPr>
          <w:rFonts w:ascii="Times New Roman" w:eastAsia="Times New Roman" w:hAnsi="Times New Roman"/>
          <w:sz w:val="28"/>
          <w:szCs w:val="28"/>
        </w:rPr>
        <w:t xml:space="preserve"> sẽ gây thêm khó khăn về kinh tế cho bản thân và gia đình. Mặt khác hưởng BHXH một lần cũng có thể ngăn cản quyền được hưởng chế độ tuất của những thân nhân của người lao động vì các khoản trợ cấp tử tuất cũng yêu cầu một số năm đóng góp tối thiểu của người lao động khi qua đời.</w:t>
      </w:r>
      <w:r w:rsidR="00535EA3" w:rsidRPr="00CA504F">
        <w:rPr>
          <w:rFonts w:ascii="Times New Roman" w:eastAsia="Times New Roman" w:hAnsi="Times New Roman"/>
          <w:sz w:val="28"/>
          <w:szCs w:val="28"/>
        </w:rPr>
        <w:t xml:space="preserve"> Như vậy, việc người lao động hưởng BHXH một lần là thiệt thòi hơn rất nhiều so với việc bảo lưu thời gian đóng để được hưởng lương hưu khi về già.</w:t>
      </w:r>
    </w:p>
    <w:p w14:paraId="22FD2974" w14:textId="5DD03CD2" w:rsidR="002160FC" w:rsidRPr="00CA504F" w:rsidRDefault="00535EA3">
      <w:pPr>
        <w:spacing w:after="120"/>
        <w:ind w:firstLine="720"/>
        <w:jc w:val="both"/>
        <w:rPr>
          <w:rFonts w:ascii="Times New Roman" w:eastAsia="Times New Roman" w:hAnsi="Times New Roman"/>
          <w:sz w:val="28"/>
          <w:szCs w:val="28"/>
        </w:rPr>
      </w:pPr>
      <w:r w:rsidRPr="00CA504F">
        <w:rPr>
          <w:rFonts w:ascii="Times New Roman" w:eastAsia="Times New Roman" w:hAnsi="Times New Roman"/>
          <w:b/>
          <w:sz w:val="28"/>
          <w:szCs w:val="28"/>
        </w:rPr>
        <w:t>2</w:t>
      </w:r>
      <w:r w:rsidR="002160FC" w:rsidRPr="00CA504F">
        <w:rPr>
          <w:rFonts w:ascii="Times New Roman" w:eastAsia="Times New Roman" w:hAnsi="Times New Roman"/>
          <w:b/>
          <w:sz w:val="28"/>
          <w:szCs w:val="28"/>
        </w:rPr>
        <w:t xml:space="preserve">. Tiêu chuẩn lao động quốc tế và quy định của một số quốc gia trên thế giới về hưởng BHXH một lần </w:t>
      </w:r>
    </w:p>
    <w:p w14:paraId="671CE452" w14:textId="18BA282C" w:rsidR="002160FC" w:rsidRPr="00CA504F" w:rsidRDefault="002160FC">
      <w:pPr>
        <w:spacing w:after="120"/>
        <w:ind w:firstLine="720"/>
        <w:jc w:val="both"/>
        <w:rPr>
          <w:rFonts w:ascii="Times New Roman" w:eastAsia="Times New Roman" w:hAnsi="Times New Roman"/>
          <w:bCs/>
          <w:sz w:val="28"/>
          <w:szCs w:val="28"/>
          <w:lang w:eastAsia="x-none"/>
        </w:rPr>
      </w:pPr>
      <w:r w:rsidRPr="00CA504F">
        <w:rPr>
          <w:rFonts w:ascii="Times New Roman" w:eastAsia="Times New Roman" w:hAnsi="Times New Roman"/>
          <w:sz w:val="28"/>
          <w:szCs w:val="28"/>
        </w:rPr>
        <w:t>Xét từ góc độ tiêu chuẩn quốc tế, c</w:t>
      </w:r>
      <w:r w:rsidRPr="00CA504F">
        <w:rPr>
          <w:rFonts w:ascii="Times New Roman" w:eastAsia="Times New Roman" w:hAnsi="Times New Roman"/>
          <w:bCs/>
          <w:sz w:val="28"/>
          <w:szCs w:val="28"/>
          <w:lang w:eastAsia="x-none"/>
        </w:rPr>
        <w:t>ác Công ước về An sinh xã hội (các tiêu chuẩn tối thiểu), năm 1952 (No. 102) và Công ước về các chế độ Mất sức lao động, Hưu trí và Tử tuất, năm 1967 (No. 128) của Tổ chức Lao động Quốc tế chỉ tập trung yêu cầu các quốc gia thành viên “</w:t>
      </w:r>
      <w:r w:rsidRPr="00CA504F">
        <w:rPr>
          <w:rFonts w:ascii="Times New Roman" w:eastAsia="Times New Roman" w:hAnsi="Times New Roman"/>
          <w:bCs/>
          <w:i/>
          <w:sz w:val="28"/>
          <w:szCs w:val="28"/>
          <w:lang w:eastAsia="x-none"/>
        </w:rPr>
        <w:t>đảm bảo cho những người được bảo vệ</w:t>
      </w:r>
      <w:r w:rsidRPr="00CA504F">
        <w:rPr>
          <w:rFonts w:ascii="Times New Roman" w:eastAsia="Times New Roman" w:hAnsi="Times New Roman"/>
          <w:bCs/>
          <w:sz w:val="28"/>
          <w:szCs w:val="28"/>
          <w:lang w:eastAsia="x-none"/>
        </w:rPr>
        <w:t xml:space="preserve">” được hưởng chế độ hưu trí định kỳ (hàng tháng hoặc hàng năm) tùy theo số năm đóng góp hay làm việc hoặc thường trú của họ, mà không đề cập đến việc hưởng BHXH một lần – một hình thức hoàn toàn không phù hợp trong đảm bảo sự bảo vệ của xã hội đối với các thành viên của mình để đương đầu với những khó khăn hoặc cú sốc về kinh tế và xã hội dẫn đến mất hoặc làm giảm nghiêm trọng thu nhập do tuổi già. </w:t>
      </w:r>
    </w:p>
    <w:p w14:paraId="1932F6D9" w14:textId="06481084" w:rsidR="002160FC" w:rsidRPr="00CA504F" w:rsidRDefault="002160FC">
      <w:pPr>
        <w:spacing w:after="120"/>
        <w:ind w:firstLine="720"/>
        <w:jc w:val="both"/>
        <w:rPr>
          <w:rFonts w:ascii="Times New Roman" w:eastAsia="Times New Roman" w:hAnsi="Times New Roman"/>
          <w:b/>
          <w:bCs/>
          <w:sz w:val="20"/>
          <w:szCs w:val="28"/>
          <w:lang w:eastAsia="x-none"/>
        </w:rPr>
      </w:pPr>
      <w:r w:rsidRPr="00CA504F">
        <w:rPr>
          <w:rFonts w:ascii="Times New Roman" w:eastAsia="Times New Roman" w:hAnsi="Times New Roman"/>
          <w:bCs/>
          <w:sz w:val="28"/>
          <w:szCs w:val="28"/>
          <w:lang w:eastAsia="x-none"/>
        </w:rPr>
        <w:t>Trên thế giới chỉ một số ít quốc gia với các chương trình hưu trí BHXH dựa trên đóng góp quy định chi trả khoản BHXH một lần khi những người tham gia không đủ điều kiện theo luật định để hưởng hưu trí định kỳ</w:t>
      </w:r>
      <w:r w:rsidR="0021174A" w:rsidRPr="00CA504F">
        <w:rPr>
          <w:rFonts w:ascii="Times New Roman" w:eastAsia="Times New Roman" w:hAnsi="Times New Roman"/>
          <w:bCs/>
          <w:sz w:val="28"/>
          <w:szCs w:val="28"/>
          <w:lang w:eastAsia="x-none"/>
        </w:rPr>
        <w:t xml:space="preserve"> </w:t>
      </w:r>
      <w:r w:rsidR="0021174A" w:rsidRPr="00CA504F">
        <w:rPr>
          <w:rFonts w:ascii="Times New Roman" w:eastAsia="Times New Roman" w:hAnsi="Times New Roman"/>
          <w:bCs/>
          <w:i/>
          <w:sz w:val="28"/>
          <w:szCs w:val="28"/>
          <w:lang w:eastAsia="x-none"/>
        </w:rPr>
        <w:t>(Chi tiết xem bảng</w:t>
      </w:r>
      <w:r w:rsidRPr="00CA504F">
        <w:rPr>
          <w:rFonts w:ascii="Times New Roman" w:eastAsia="Times New Roman" w:hAnsi="Times New Roman"/>
          <w:bCs/>
          <w:i/>
          <w:sz w:val="28"/>
          <w:szCs w:val="28"/>
          <w:lang w:eastAsia="x-none"/>
        </w:rPr>
        <w:t xml:space="preserve"> 6</w:t>
      </w:r>
      <w:r w:rsidR="0021174A" w:rsidRPr="00CA504F">
        <w:rPr>
          <w:rFonts w:ascii="Times New Roman" w:eastAsia="Times New Roman" w:hAnsi="Times New Roman"/>
          <w:bCs/>
          <w:i/>
          <w:sz w:val="28"/>
          <w:szCs w:val="28"/>
          <w:lang w:eastAsia="x-none"/>
        </w:rPr>
        <w:t>)</w:t>
      </w:r>
      <w:r w:rsidRPr="00CA504F">
        <w:rPr>
          <w:rFonts w:ascii="Times New Roman" w:eastAsia="Times New Roman" w:hAnsi="Times New Roman"/>
          <w:sz w:val="28"/>
          <w:szCs w:val="28"/>
        </w:rPr>
        <w:t xml:space="preserve">. </w:t>
      </w:r>
    </w:p>
    <w:p w14:paraId="22B96EE9" w14:textId="65AC1438" w:rsidR="002160FC" w:rsidRPr="00CA504F" w:rsidRDefault="002160FC">
      <w:pPr>
        <w:spacing w:after="0" w:line="240" w:lineRule="auto"/>
        <w:jc w:val="center"/>
        <w:rPr>
          <w:rFonts w:ascii="Times New Roman" w:eastAsia="Times New Roman" w:hAnsi="Times New Roman"/>
          <w:b/>
          <w:sz w:val="24"/>
          <w:szCs w:val="28"/>
        </w:rPr>
      </w:pPr>
      <w:r w:rsidRPr="00CA504F">
        <w:rPr>
          <w:rFonts w:ascii="Times New Roman" w:eastAsia="Times New Roman" w:hAnsi="Times New Roman"/>
          <w:b/>
          <w:bCs/>
          <w:sz w:val="24"/>
          <w:szCs w:val="28"/>
          <w:lang w:eastAsia="x-none"/>
        </w:rPr>
        <w:lastRenderedPageBreak/>
        <w:t xml:space="preserve">Bảng </w:t>
      </w:r>
      <w:r w:rsidR="00EF73CE" w:rsidRPr="00CA504F">
        <w:rPr>
          <w:rFonts w:ascii="Times New Roman" w:eastAsia="Times New Roman" w:hAnsi="Times New Roman"/>
          <w:b/>
          <w:bCs/>
          <w:sz w:val="24"/>
          <w:szCs w:val="28"/>
          <w:lang w:eastAsia="x-none"/>
        </w:rPr>
        <w:t>9</w:t>
      </w:r>
      <w:r w:rsidRPr="00CA504F">
        <w:rPr>
          <w:rFonts w:ascii="Times New Roman" w:eastAsia="Times New Roman" w:hAnsi="Times New Roman"/>
          <w:b/>
          <w:bCs/>
          <w:sz w:val="24"/>
          <w:szCs w:val="28"/>
          <w:lang w:eastAsia="x-none"/>
        </w:rPr>
        <w:t>: Q</w:t>
      </w:r>
      <w:r w:rsidRPr="00CA504F">
        <w:rPr>
          <w:rFonts w:ascii="Times New Roman" w:eastAsia="Times New Roman" w:hAnsi="Times New Roman"/>
          <w:b/>
          <w:sz w:val="24"/>
          <w:szCs w:val="28"/>
        </w:rPr>
        <w:t xml:space="preserve">uy định hưởng bảo hiểm xã hội một lần ở </w:t>
      </w:r>
      <w:r w:rsidR="000057B9" w:rsidRPr="00CA504F">
        <w:rPr>
          <w:rFonts w:ascii="Times New Roman" w:eastAsia="Times New Roman" w:hAnsi="Times New Roman"/>
          <w:b/>
          <w:sz w:val="24"/>
          <w:szCs w:val="28"/>
        </w:rPr>
        <w:t>một số quốc gia</w:t>
      </w:r>
      <w:r w:rsidRPr="00CA504F">
        <w:rPr>
          <w:rFonts w:ascii="Times New Roman" w:eastAsia="Times New Roman" w:hAnsi="Times New Roman"/>
          <w:b/>
          <w:sz w:val="24"/>
          <w:szCs w:val="28"/>
        </w:rPr>
        <w:t xml:space="preserve"> trên thế giới </w:t>
      </w:r>
    </w:p>
    <w:p w14:paraId="5F655F9A" w14:textId="77777777" w:rsidR="00FB357D" w:rsidRPr="00CA504F" w:rsidRDefault="00FB357D" w:rsidP="00185206">
      <w:pPr>
        <w:spacing w:after="120"/>
        <w:jc w:val="center"/>
        <w:rPr>
          <w:rFonts w:ascii="Times New Roman" w:eastAsia="Times New Roman" w:hAnsi="Times New Roman"/>
          <w:b/>
          <w:bCs/>
          <w:sz w:val="16"/>
          <w:szCs w:val="28"/>
          <w:lang w:eastAsia="x-non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646"/>
      </w:tblGrid>
      <w:tr w:rsidR="00CA504F" w:rsidRPr="00CA504F" w14:paraId="5AA547D7" w14:textId="77777777" w:rsidTr="00BC202A">
        <w:tc>
          <w:tcPr>
            <w:tcW w:w="1710" w:type="dxa"/>
            <w:shd w:val="clear" w:color="auto" w:fill="auto"/>
          </w:tcPr>
          <w:p w14:paraId="3EE0971E" w14:textId="77777777" w:rsidR="002160FC" w:rsidRPr="00CA504F" w:rsidRDefault="002160FC" w:rsidP="00185206">
            <w:pPr>
              <w:spacing w:after="120"/>
              <w:jc w:val="center"/>
              <w:rPr>
                <w:rFonts w:ascii="Times New Roman" w:eastAsia="Times New Roman" w:hAnsi="Times New Roman"/>
                <w:b/>
                <w:bCs/>
                <w:sz w:val="24"/>
                <w:szCs w:val="28"/>
                <w:lang w:eastAsia="x-none"/>
              </w:rPr>
            </w:pPr>
            <w:r w:rsidRPr="00CA504F">
              <w:rPr>
                <w:rFonts w:ascii="Times New Roman" w:eastAsia="Times New Roman" w:hAnsi="Times New Roman"/>
                <w:b/>
                <w:bCs/>
                <w:sz w:val="24"/>
                <w:szCs w:val="28"/>
                <w:lang w:eastAsia="x-none"/>
              </w:rPr>
              <w:t>Quốc gia</w:t>
            </w:r>
          </w:p>
        </w:tc>
        <w:tc>
          <w:tcPr>
            <w:tcW w:w="7646" w:type="dxa"/>
            <w:shd w:val="clear" w:color="auto" w:fill="auto"/>
          </w:tcPr>
          <w:p w14:paraId="491235C3" w14:textId="77777777" w:rsidR="002160FC" w:rsidRPr="00CA504F" w:rsidRDefault="002160FC" w:rsidP="00185206">
            <w:pPr>
              <w:spacing w:after="120"/>
              <w:jc w:val="center"/>
              <w:rPr>
                <w:rFonts w:ascii="Times New Roman" w:eastAsia="Times New Roman" w:hAnsi="Times New Roman"/>
                <w:b/>
                <w:bCs/>
                <w:sz w:val="24"/>
                <w:szCs w:val="28"/>
                <w:lang w:eastAsia="x-none"/>
              </w:rPr>
            </w:pPr>
            <w:r w:rsidRPr="00CA504F">
              <w:rPr>
                <w:rFonts w:ascii="Times New Roman" w:eastAsia="Times New Roman" w:hAnsi="Times New Roman"/>
                <w:b/>
                <w:bCs/>
                <w:sz w:val="24"/>
                <w:szCs w:val="28"/>
                <w:lang w:eastAsia="x-none"/>
              </w:rPr>
              <w:t>Nội dung quy định</w:t>
            </w:r>
          </w:p>
        </w:tc>
      </w:tr>
      <w:tr w:rsidR="00CA504F" w:rsidRPr="00CA504F" w14:paraId="587FD83B" w14:textId="77777777" w:rsidTr="00BC202A">
        <w:tc>
          <w:tcPr>
            <w:tcW w:w="1710" w:type="dxa"/>
            <w:shd w:val="clear" w:color="auto" w:fill="auto"/>
          </w:tcPr>
          <w:p w14:paraId="11C1E052" w14:textId="77777777" w:rsidR="002160FC" w:rsidRPr="00CA504F" w:rsidRDefault="002160FC" w:rsidP="00185206">
            <w:pPr>
              <w:spacing w:after="120"/>
              <w:jc w:val="center"/>
              <w:rPr>
                <w:rFonts w:ascii="Times New Roman" w:eastAsia="Times New Roman" w:hAnsi="Times New Roman"/>
                <w:b/>
                <w:bCs/>
                <w:sz w:val="24"/>
                <w:szCs w:val="28"/>
                <w:lang w:eastAsia="x-none"/>
              </w:rPr>
            </w:pPr>
          </w:p>
          <w:p w14:paraId="55C75BC4" w14:textId="77777777" w:rsidR="002160FC" w:rsidRPr="00CA504F" w:rsidRDefault="002160FC" w:rsidP="00185206">
            <w:pPr>
              <w:spacing w:after="120"/>
              <w:jc w:val="center"/>
              <w:rPr>
                <w:rFonts w:ascii="Times New Roman" w:eastAsia="Times New Roman" w:hAnsi="Times New Roman"/>
                <w:b/>
                <w:bCs/>
                <w:sz w:val="24"/>
                <w:szCs w:val="28"/>
                <w:lang w:eastAsia="x-none"/>
              </w:rPr>
            </w:pPr>
          </w:p>
          <w:p w14:paraId="5C184DF6" w14:textId="77777777" w:rsidR="002160FC" w:rsidRPr="00CA504F" w:rsidRDefault="002160FC" w:rsidP="00185206">
            <w:pPr>
              <w:spacing w:after="120"/>
              <w:jc w:val="center"/>
              <w:rPr>
                <w:rFonts w:ascii="Times New Roman" w:eastAsia="Times New Roman" w:hAnsi="Times New Roman"/>
                <w:b/>
                <w:bCs/>
                <w:sz w:val="24"/>
                <w:szCs w:val="28"/>
                <w:lang w:eastAsia="x-none"/>
              </w:rPr>
            </w:pPr>
          </w:p>
          <w:p w14:paraId="2B73B574" w14:textId="77777777" w:rsidR="002160FC" w:rsidRPr="00CA504F" w:rsidRDefault="002160FC" w:rsidP="00185206">
            <w:pPr>
              <w:spacing w:after="120"/>
              <w:jc w:val="center"/>
              <w:rPr>
                <w:rFonts w:ascii="Times New Roman" w:eastAsia="Times New Roman" w:hAnsi="Times New Roman"/>
                <w:b/>
                <w:bCs/>
                <w:sz w:val="24"/>
                <w:szCs w:val="28"/>
                <w:lang w:eastAsia="x-none"/>
              </w:rPr>
            </w:pPr>
          </w:p>
          <w:p w14:paraId="1104E9E0" w14:textId="77777777" w:rsidR="002160FC" w:rsidRPr="00CA504F" w:rsidRDefault="002160FC" w:rsidP="00185206">
            <w:pPr>
              <w:spacing w:after="120"/>
              <w:jc w:val="center"/>
              <w:rPr>
                <w:rFonts w:ascii="Times New Roman" w:eastAsia="Times New Roman" w:hAnsi="Times New Roman"/>
                <w:b/>
                <w:bCs/>
                <w:sz w:val="24"/>
                <w:szCs w:val="28"/>
                <w:lang w:eastAsia="x-none"/>
              </w:rPr>
            </w:pPr>
          </w:p>
          <w:p w14:paraId="048CFBD6" w14:textId="77777777" w:rsidR="002160FC" w:rsidRPr="00CA504F" w:rsidRDefault="002160FC" w:rsidP="00185206">
            <w:pPr>
              <w:spacing w:after="120"/>
              <w:jc w:val="center"/>
              <w:rPr>
                <w:rFonts w:ascii="Times New Roman" w:eastAsia="Times New Roman" w:hAnsi="Times New Roman"/>
                <w:b/>
                <w:bCs/>
                <w:sz w:val="24"/>
                <w:szCs w:val="28"/>
                <w:lang w:eastAsia="x-none"/>
              </w:rPr>
            </w:pPr>
            <w:r w:rsidRPr="00CA504F">
              <w:rPr>
                <w:rFonts w:ascii="Times New Roman" w:eastAsia="Times New Roman" w:hAnsi="Times New Roman"/>
                <w:b/>
                <w:bCs/>
                <w:sz w:val="24"/>
                <w:szCs w:val="28"/>
                <w:lang w:eastAsia="x-none"/>
              </w:rPr>
              <w:t>Trung Quốc</w:t>
            </w:r>
          </w:p>
        </w:tc>
        <w:tc>
          <w:tcPr>
            <w:tcW w:w="7646" w:type="dxa"/>
            <w:shd w:val="clear" w:color="auto" w:fill="auto"/>
          </w:tcPr>
          <w:p w14:paraId="2FA602D5" w14:textId="77777777" w:rsidR="002160FC" w:rsidRPr="00CA504F" w:rsidRDefault="002160FC" w:rsidP="00185206">
            <w:pPr>
              <w:spacing w:after="120"/>
              <w:jc w:val="both"/>
              <w:rPr>
                <w:rFonts w:ascii="Times New Roman" w:eastAsia="Times New Roman" w:hAnsi="Times New Roman"/>
                <w:bCs/>
                <w:sz w:val="24"/>
                <w:szCs w:val="28"/>
                <w:lang w:eastAsia="x-none"/>
              </w:rPr>
            </w:pPr>
            <w:r w:rsidRPr="00CA504F">
              <w:rPr>
                <w:rFonts w:ascii="Times New Roman" w:eastAsia="Times New Roman" w:hAnsi="Times New Roman"/>
                <w:bCs/>
                <w:sz w:val="24"/>
                <w:szCs w:val="28"/>
                <w:lang w:eastAsia="x-none"/>
              </w:rPr>
              <w:t xml:space="preserve">Với dưới 15 năm đóng góp, người được bảo hiểm có thể lựa chọn dừng đóng và nhận chi trả một lần, nhưng Nhà nước vẫn khuyến khích người dân duy trì việc đóng góp với các hình thức: </w:t>
            </w:r>
          </w:p>
          <w:p w14:paraId="0EC760CD" w14:textId="77777777" w:rsidR="002160FC" w:rsidRPr="00CA504F" w:rsidRDefault="002160FC" w:rsidP="00185206">
            <w:pPr>
              <w:spacing w:after="120"/>
              <w:jc w:val="both"/>
              <w:rPr>
                <w:rFonts w:ascii="Times New Roman" w:eastAsia="Times New Roman" w:hAnsi="Times New Roman"/>
                <w:bCs/>
                <w:sz w:val="24"/>
                <w:szCs w:val="28"/>
                <w:lang w:eastAsia="x-none"/>
              </w:rPr>
            </w:pPr>
            <w:r w:rsidRPr="00CA504F">
              <w:rPr>
                <w:rFonts w:ascii="Times New Roman" w:eastAsia="Times New Roman" w:hAnsi="Times New Roman"/>
                <w:bCs/>
                <w:sz w:val="24"/>
                <w:szCs w:val="28"/>
                <w:lang w:eastAsia="x-none"/>
              </w:rPr>
              <w:t xml:space="preserve">(i) Những người tham gia chương trình bảo hiểm hưu trí cơ bản trước năm 2011 ở độ tuổi nghỉ hưu theo luật định và có ít nhất 10 năm nhưng dưới 15 năm làm việc thuộc diện bao phủ BHXH có thể đóng một khoản đóng góp một lần để đủ điều kiện hưởng hưu trí cơ bản.  </w:t>
            </w:r>
          </w:p>
          <w:p w14:paraId="11D94D86" w14:textId="77777777" w:rsidR="002160FC" w:rsidRPr="00CA504F" w:rsidRDefault="002160FC" w:rsidP="00185206">
            <w:pPr>
              <w:spacing w:after="120"/>
              <w:jc w:val="both"/>
              <w:rPr>
                <w:rFonts w:ascii="Times New Roman" w:eastAsia="Times New Roman" w:hAnsi="Times New Roman"/>
                <w:bCs/>
                <w:sz w:val="24"/>
                <w:szCs w:val="28"/>
                <w:lang w:eastAsia="x-none"/>
              </w:rPr>
            </w:pPr>
            <w:r w:rsidRPr="00CA504F">
              <w:rPr>
                <w:rFonts w:ascii="Times New Roman" w:eastAsia="Times New Roman" w:hAnsi="Times New Roman"/>
                <w:bCs/>
                <w:sz w:val="24"/>
                <w:szCs w:val="28"/>
                <w:lang w:eastAsia="x-none"/>
              </w:rPr>
              <w:t>(ii) Những người được bảo hiểm đủ 60 tuổi với dưới 15 năm làm việc thuộc diện bao phủ BHXH có thể tiếp tục đóng góp cho đến khi họ đủ điều kiện hoặc thực hiện khoản đóng góp một lần vào chương trình hưu trí dành cho nông dân và cư dân thành thị không làm công ăn lương (có sự hỗ trợ của Nhà nước) để đủ điều kiện hưởng chế độ hưu trí.</w:t>
            </w:r>
          </w:p>
        </w:tc>
      </w:tr>
      <w:tr w:rsidR="00CA504F" w:rsidRPr="00CA504F" w14:paraId="15963EEF" w14:textId="77777777" w:rsidTr="00BC202A">
        <w:tc>
          <w:tcPr>
            <w:tcW w:w="1710" w:type="dxa"/>
            <w:shd w:val="clear" w:color="auto" w:fill="auto"/>
          </w:tcPr>
          <w:p w14:paraId="3B97455F" w14:textId="77777777" w:rsidR="002160FC" w:rsidRPr="00CA504F" w:rsidRDefault="002160FC" w:rsidP="00185206">
            <w:pPr>
              <w:spacing w:after="120"/>
              <w:jc w:val="center"/>
              <w:rPr>
                <w:rFonts w:ascii="Times New Roman" w:eastAsia="Times New Roman" w:hAnsi="Times New Roman"/>
                <w:b/>
                <w:bCs/>
                <w:sz w:val="24"/>
                <w:szCs w:val="28"/>
                <w:lang w:eastAsia="x-none"/>
              </w:rPr>
            </w:pPr>
          </w:p>
          <w:p w14:paraId="354D239B" w14:textId="77777777" w:rsidR="002160FC" w:rsidRPr="00CA504F" w:rsidRDefault="002160FC" w:rsidP="00185206">
            <w:pPr>
              <w:spacing w:after="120"/>
              <w:jc w:val="center"/>
              <w:rPr>
                <w:rFonts w:ascii="Times New Roman" w:eastAsia="Times New Roman" w:hAnsi="Times New Roman"/>
                <w:b/>
                <w:bCs/>
                <w:sz w:val="24"/>
                <w:szCs w:val="28"/>
                <w:lang w:eastAsia="x-none"/>
              </w:rPr>
            </w:pPr>
          </w:p>
          <w:p w14:paraId="6B5BBFD5" w14:textId="77777777" w:rsidR="002160FC" w:rsidRPr="00CA504F" w:rsidRDefault="002160FC" w:rsidP="00185206">
            <w:pPr>
              <w:spacing w:after="120"/>
              <w:jc w:val="center"/>
              <w:rPr>
                <w:rFonts w:ascii="Times New Roman" w:eastAsia="Times New Roman" w:hAnsi="Times New Roman"/>
                <w:b/>
                <w:bCs/>
                <w:sz w:val="24"/>
                <w:szCs w:val="28"/>
                <w:lang w:eastAsia="x-none"/>
              </w:rPr>
            </w:pPr>
          </w:p>
          <w:p w14:paraId="39DB3601" w14:textId="77777777" w:rsidR="002160FC" w:rsidRPr="00CA504F" w:rsidRDefault="002160FC" w:rsidP="00185206">
            <w:pPr>
              <w:spacing w:after="120"/>
              <w:jc w:val="center"/>
              <w:rPr>
                <w:rFonts w:ascii="Times New Roman" w:eastAsia="Times New Roman" w:hAnsi="Times New Roman"/>
                <w:b/>
                <w:bCs/>
                <w:sz w:val="24"/>
                <w:szCs w:val="28"/>
                <w:lang w:eastAsia="x-none"/>
              </w:rPr>
            </w:pPr>
            <w:r w:rsidRPr="00CA504F">
              <w:rPr>
                <w:rFonts w:ascii="Times New Roman" w:eastAsia="Times New Roman" w:hAnsi="Times New Roman"/>
                <w:b/>
                <w:bCs/>
                <w:sz w:val="24"/>
                <w:szCs w:val="28"/>
                <w:lang w:eastAsia="x-none"/>
              </w:rPr>
              <w:t>Ai Cập</w:t>
            </w:r>
          </w:p>
        </w:tc>
        <w:tc>
          <w:tcPr>
            <w:tcW w:w="7646" w:type="dxa"/>
            <w:shd w:val="clear" w:color="auto" w:fill="auto"/>
          </w:tcPr>
          <w:p w14:paraId="29B3A64C" w14:textId="77777777" w:rsidR="002160FC" w:rsidRPr="00CA504F" w:rsidRDefault="002160FC" w:rsidP="00185206">
            <w:pPr>
              <w:spacing w:after="120"/>
              <w:jc w:val="both"/>
              <w:rPr>
                <w:rFonts w:ascii="Times New Roman" w:eastAsia="Times New Roman" w:hAnsi="Times New Roman"/>
                <w:bCs/>
                <w:sz w:val="24"/>
                <w:szCs w:val="28"/>
                <w:lang w:eastAsia="x-none"/>
              </w:rPr>
            </w:pPr>
            <w:r w:rsidRPr="00CA504F">
              <w:rPr>
                <w:rFonts w:ascii="Times New Roman" w:eastAsia="Times New Roman" w:hAnsi="Times New Roman"/>
                <w:bCs/>
                <w:sz w:val="24"/>
                <w:szCs w:val="28"/>
                <w:lang w:eastAsia="x-none"/>
              </w:rPr>
              <w:t>Chi trả BHXH một lần chỉ được giải quyết đối với các trường hợp:</w:t>
            </w:r>
          </w:p>
          <w:p w14:paraId="6BFF7498" w14:textId="77777777" w:rsidR="002160FC" w:rsidRPr="00CA504F" w:rsidRDefault="002160FC" w:rsidP="00185206">
            <w:pPr>
              <w:spacing w:after="120"/>
              <w:jc w:val="both"/>
              <w:rPr>
                <w:rFonts w:ascii="Times New Roman" w:eastAsia="Times New Roman" w:hAnsi="Times New Roman"/>
                <w:bCs/>
                <w:sz w:val="24"/>
                <w:szCs w:val="28"/>
                <w:lang w:eastAsia="x-none"/>
              </w:rPr>
            </w:pPr>
            <w:r w:rsidRPr="00CA504F">
              <w:rPr>
                <w:rFonts w:ascii="Times New Roman" w:eastAsia="Times New Roman" w:hAnsi="Times New Roman"/>
                <w:bCs/>
                <w:sz w:val="24"/>
                <w:szCs w:val="28"/>
                <w:lang w:eastAsia="x-none"/>
              </w:rPr>
              <w:t xml:space="preserve">(i) Đủ 60 tuổi nhưng không đủ điều kiện hưởng chế độ hưu trí; </w:t>
            </w:r>
          </w:p>
          <w:p w14:paraId="4228D3E5" w14:textId="77777777" w:rsidR="002160FC" w:rsidRPr="00CA504F" w:rsidRDefault="002160FC" w:rsidP="00185206">
            <w:pPr>
              <w:spacing w:after="120"/>
              <w:jc w:val="both"/>
              <w:rPr>
                <w:rFonts w:ascii="Times New Roman" w:eastAsia="Times New Roman" w:hAnsi="Times New Roman"/>
                <w:bCs/>
                <w:sz w:val="24"/>
                <w:szCs w:val="28"/>
                <w:lang w:eastAsia="x-none"/>
              </w:rPr>
            </w:pPr>
            <w:r w:rsidRPr="00CA504F">
              <w:rPr>
                <w:rFonts w:ascii="Times New Roman" w:eastAsia="Times New Roman" w:hAnsi="Times New Roman"/>
                <w:bCs/>
                <w:sz w:val="24"/>
                <w:szCs w:val="28"/>
                <w:lang w:eastAsia="x-none"/>
              </w:rPr>
              <w:t xml:space="preserve">(ii) Ở mọi độ tuổi nếu di cư ra nước ngoài vĩnh viễn; hoặc </w:t>
            </w:r>
          </w:p>
          <w:p w14:paraId="3355C897" w14:textId="77777777" w:rsidR="002160FC" w:rsidRPr="00CA504F" w:rsidRDefault="002160FC" w:rsidP="00185206">
            <w:pPr>
              <w:spacing w:after="120"/>
              <w:jc w:val="both"/>
              <w:rPr>
                <w:rFonts w:ascii="Times New Roman" w:eastAsia="Times New Roman" w:hAnsi="Times New Roman"/>
                <w:bCs/>
                <w:sz w:val="24"/>
                <w:szCs w:val="28"/>
                <w:lang w:eastAsia="x-none"/>
              </w:rPr>
            </w:pPr>
            <w:r w:rsidRPr="00CA504F">
              <w:rPr>
                <w:rFonts w:ascii="Times New Roman" w:eastAsia="Times New Roman" w:hAnsi="Times New Roman"/>
                <w:bCs/>
                <w:sz w:val="24"/>
                <w:szCs w:val="28"/>
                <w:lang w:eastAsia="x-none"/>
              </w:rPr>
              <w:t>(iii) Phụ nữ được bảo hiểm từ 51 tuổi trở lên trở lên (</w:t>
            </w:r>
            <w:r w:rsidRPr="00CA504F">
              <w:rPr>
                <w:rFonts w:ascii="Times New Roman" w:eastAsia="Times New Roman" w:hAnsi="Times New Roman"/>
                <w:bCs/>
                <w:i/>
                <w:sz w:val="24"/>
                <w:szCs w:val="28"/>
                <w:lang w:eastAsia="x-none"/>
              </w:rPr>
              <w:t>kết hôn, li dị hoặc góa phụ</w:t>
            </w:r>
            <w:r w:rsidRPr="00CA504F">
              <w:rPr>
                <w:rFonts w:ascii="Times New Roman" w:eastAsia="Times New Roman" w:hAnsi="Times New Roman"/>
                <w:bCs/>
                <w:sz w:val="24"/>
                <w:szCs w:val="28"/>
                <w:lang w:eastAsia="x-none"/>
              </w:rPr>
              <w:t xml:space="preserve">) mà không đủ điều kiện hưởng chế độ hưu trí. </w:t>
            </w:r>
          </w:p>
          <w:p w14:paraId="7CFD1EDF" w14:textId="77777777" w:rsidR="002160FC" w:rsidRPr="00CA504F" w:rsidRDefault="002160FC" w:rsidP="00185206">
            <w:pPr>
              <w:spacing w:after="120"/>
              <w:jc w:val="both"/>
              <w:rPr>
                <w:rFonts w:ascii="Times New Roman" w:eastAsia="Times New Roman" w:hAnsi="Times New Roman"/>
                <w:bCs/>
                <w:sz w:val="24"/>
                <w:szCs w:val="28"/>
                <w:lang w:eastAsia="x-none"/>
              </w:rPr>
            </w:pPr>
            <w:r w:rsidRPr="00CA504F">
              <w:rPr>
                <w:rFonts w:ascii="Times New Roman" w:eastAsia="Times New Roman" w:hAnsi="Times New Roman"/>
                <w:bCs/>
                <w:sz w:val="24"/>
                <w:szCs w:val="28"/>
                <w:lang w:eastAsia="x-none"/>
              </w:rPr>
              <w:t>Điều kiện đủ để hưởng chế độ hưu trí là đủ 60 tuổi với ít nhất 120 tháng (10 năm) đóng góp.</w:t>
            </w:r>
          </w:p>
        </w:tc>
      </w:tr>
      <w:tr w:rsidR="00CA504F" w:rsidRPr="00CA504F" w14:paraId="5718C7C4" w14:textId="77777777" w:rsidTr="00BC202A">
        <w:tc>
          <w:tcPr>
            <w:tcW w:w="1710" w:type="dxa"/>
            <w:shd w:val="clear" w:color="auto" w:fill="auto"/>
          </w:tcPr>
          <w:p w14:paraId="3FF91C48" w14:textId="77777777" w:rsidR="002160FC" w:rsidRPr="00CA504F" w:rsidRDefault="002160FC" w:rsidP="00185206">
            <w:pPr>
              <w:spacing w:after="120"/>
              <w:jc w:val="center"/>
              <w:rPr>
                <w:rFonts w:ascii="Times New Roman" w:eastAsia="Times New Roman" w:hAnsi="Times New Roman"/>
                <w:b/>
                <w:bCs/>
                <w:sz w:val="24"/>
                <w:szCs w:val="28"/>
                <w:lang w:eastAsia="x-none"/>
              </w:rPr>
            </w:pPr>
          </w:p>
          <w:p w14:paraId="52BEDE9B" w14:textId="77777777" w:rsidR="002160FC" w:rsidRPr="00CA504F" w:rsidRDefault="002160FC" w:rsidP="00185206">
            <w:pPr>
              <w:spacing w:after="120"/>
              <w:jc w:val="center"/>
              <w:rPr>
                <w:rFonts w:ascii="Times New Roman" w:eastAsia="Times New Roman" w:hAnsi="Times New Roman"/>
                <w:b/>
                <w:bCs/>
                <w:sz w:val="24"/>
                <w:szCs w:val="28"/>
                <w:lang w:eastAsia="x-none"/>
              </w:rPr>
            </w:pPr>
            <w:r w:rsidRPr="00CA504F">
              <w:rPr>
                <w:rFonts w:ascii="Times New Roman" w:eastAsia="Times New Roman" w:hAnsi="Times New Roman"/>
                <w:b/>
                <w:bCs/>
                <w:sz w:val="24"/>
                <w:szCs w:val="28"/>
                <w:lang w:eastAsia="x-none"/>
              </w:rPr>
              <w:t>Indonesia</w:t>
            </w:r>
          </w:p>
        </w:tc>
        <w:tc>
          <w:tcPr>
            <w:tcW w:w="7646" w:type="dxa"/>
            <w:shd w:val="clear" w:color="auto" w:fill="auto"/>
          </w:tcPr>
          <w:p w14:paraId="7F6EC216" w14:textId="77777777" w:rsidR="002160FC" w:rsidRPr="00CA504F" w:rsidRDefault="002160FC" w:rsidP="00185206">
            <w:pPr>
              <w:spacing w:after="120"/>
              <w:jc w:val="both"/>
              <w:rPr>
                <w:rFonts w:ascii="Times New Roman" w:eastAsia="Times New Roman" w:hAnsi="Times New Roman"/>
                <w:bCs/>
                <w:sz w:val="24"/>
                <w:szCs w:val="28"/>
                <w:lang w:eastAsia="x-none"/>
              </w:rPr>
            </w:pPr>
            <w:r w:rsidRPr="00CA504F">
              <w:rPr>
                <w:rFonts w:ascii="Times New Roman" w:eastAsia="Times New Roman" w:hAnsi="Times New Roman"/>
                <w:bCs/>
                <w:sz w:val="24"/>
                <w:szCs w:val="28"/>
                <w:lang w:eastAsia="x-none"/>
              </w:rPr>
              <w:t>Người tham gia BHXH nếu có thời gian đóng góp dưới 180 tháng (15 năm) sẽ được hưởng BHXH một lần bằng tổng các khoản đóng góp của người đó cộng với thu nhập có được từ đầu tư.</w:t>
            </w:r>
          </w:p>
        </w:tc>
      </w:tr>
      <w:tr w:rsidR="00CA504F" w:rsidRPr="00CA504F" w14:paraId="4DC3A602" w14:textId="77777777" w:rsidTr="00BC202A">
        <w:tc>
          <w:tcPr>
            <w:tcW w:w="1710" w:type="dxa"/>
            <w:shd w:val="clear" w:color="auto" w:fill="auto"/>
          </w:tcPr>
          <w:p w14:paraId="6CB49B1E" w14:textId="77777777" w:rsidR="002160FC" w:rsidRPr="00CA504F" w:rsidRDefault="002160FC" w:rsidP="00185206">
            <w:pPr>
              <w:spacing w:after="120"/>
              <w:jc w:val="center"/>
              <w:rPr>
                <w:rFonts w:ascii="Times New Roman" w:eastAsia="Times New Roman" w:hAnsi="Times New Roman"/>
                <w:b/>
                <w:bCs/>
                <w:sz w:val="24"/>
                <w:szCs w:val="28"/>
                <w:lang w:eastAsia="x-none"/>
              </w:rPr>
            </w:pPr>
          </w:p>
          <w:p w14:paraId="67AFC3D5" w14:textId="77777777" w:rsidR="002160FC" w:rsidRPr="00CA504F" w:rsidRDefault="002160FC" w:rsidP="00185206">
            <w:pPr>
              <w:spacing w:after="120"/>
              <w:jc w:val="center"/>
              <w:rPr>
                <w:rFonts w:ascii="Times New Roman" w:eastAsia="Times New Roman" w:hAnsi="Times New Roman"/>
                <w:b/>
                <w:bCs/>
                <w:sz w:val="24"/>
                <w:szCs w:val="28"/>
                <w:lang w:eastAsia="x-none"/>
              </w:rPr>
            </w:pPr>
            <w:r w:rsidRPr="00CA504F">
              <w:rPr>
                <w:rFonts w:ascii="Times New Roman" w:eastAsia="Times New Roman" w:hAnsi="Times New Roman"/>
                <w:b/>
                <w:bCs/>
                <w:sz w:val="24"/>
                <w:szCs w:val="28"/>
                <w:lang w:eastAsia="x-none"/>
              </w:rPr>
              <w:t>Lào</w:t>
            </w:r>
          </w:p>
        </w:tc>
        <w:tc>
          <w:tcPr>
            <w:tcW w:w="7646" w:type="dxa"/>
            <w:shd w:val="clear" w:color="auto" w:fill="auto"/>
          </w:tcPr>
          <w:p w14:paraId="5CF8BEFC" w14:textId="77777777" w:rsidR="002160FC" w:rsidRPr="00CA504F" w:rsidRDefault="002160FC" w:rsidP="00185206">
            <w:pPr>
              <w:spacing w:after="120"/>
              <w:jc w:val="both"/>
              <w:rPr>
                <w:rFonts w:ascii="Times New Roman" w:eastAsia="Times New Roman" w:hAnsi="Times New Roman"/>
                <w:bCs/>
                <w:sz w:val="24"/>
                <w:szCs w:val="28"/>
                <w:lang w:eastAsia="x-none"/>
              </w:rPr>
            </w:pPr>
            <w:r w:rsidRPr="00CA504F">
              <w:rPr>
                <w:rFonts w:ascii="Times New Roman" w:eastAsia="Times New Roman" w:hAnsi="Times New Roman"/>
                <w:bCs/>
                <w:sz w:val="24"/>
                <w:szCs w:val="28"/>
                <w:lang w:eastAsia="x-none"/>
              </w:rPr>
              <w:t>Nam giới 60 tuổi và phụ nữ 55 tuổi với dưới 15 năm đóng góp. Mức hưởng hưu trí một lần bằng 1,5 tháng lương bình quân của người được bảo hiểm trong sáu tháng cuối trước khi nghỉ hưu nhân với số năm đóng bảo hiểm.</w:t>
            </w:r>
          </w:p>
        </w:tc>
      </w:tr>
      <w:tr w:rsidR="00CA504F" w:rsidRPr="00CA504F" w14:paraId="21A6F970" w14:textId="77777777" w:rsidTr="00BC202A">
        <w:tc>
          <w:tcPr>
            <w:tcW w:w="1710" w:type="dxa"/>
            <w:shd w:val="clear" w:color="auto" w:fill="auto"/>
          </w:tcPr>
          <w:p w14:paraId="65C47A1C" w14:textId="77777777" w:rsidR="002160FC" w:rsidRPr="00CA504F" w:rsidRDefault="002160FC" w:rsidP="00185206">
            <w:pPr>
              <w:spacing w:after="120"/>
              <w:jc w:val="center"/>
              <w:rPr>
                <w:rFonts w:ascii="Times New Roman" w:eastAsia="Times New Roman" w:hAnsi="Times New Roman"/>
                <w:b/>
                <w:bCs/>
                <w:sz w:val="24"/>
                <w:szCs w:val="28"/>
                <w:lang w:eastAsia="x-none"/>
              </w:rPr>
            </w:pPr>
          </w:p>
          <w:p w14:paraId="3D8D66C7" w14:textId="77777777" w:rsidR="002160FC" w:rsidRPr="00CA504F" w:rsidRDefault="002160FC" w:rsidP="00185206">
            <w:pPr>
              <w:spacing w:after="120"/>
              <w:jc w:val="center"/>
              <w:rPr>
                <w:rFonts w:ascii="Times New Roman" w:eastAsia="Times New Roman" w:hAnsi="Times New Roman"/>
                <w:b/>
                <w:bCs/>
                <w:sz w:val="24"/>
                <w:szCs w:val="28"/>
                <w:lang w:eastAsia="x-none"/>
              </w:rPr>
            </w:pPr>
            <w:r w:rsidRPr="00CA504F">
              <w:rPr>
                <w:rFonts w:ascii="Times New Roman" w:eastAsia="Times New Roman" w:hAnsi="Times New Roman"/>
                <w:b/>
                <w:bCs/>
                <w:sz w:val="24"/>
                <w:szCs w:val="28"/>
                <w:lang w:eastAsia="x-none"/>
              </w:rPr>
              <w:t>Pakistan</w:t>
            </w:r>
          </w:p>
        </w:tc>
        <w:tc>
          <w:tcPr>
            <w:tcW w:w="7646" w:type="dxa"/>
            <w:shd w:val="clear" w:color="auto" w:fill="auto"/>
          </w:tcPr>
          <w:p w14:paraId="74ACBBA1" w14:textId="77777777" w:rsidR="002160FC" w:rsidRPr="00CA504F" w:rsidRDefault="002160FC" w:rsidP="00185206">
            <w:pPr>
              <w:spacing w:after="120"/>
              <w:jc w:val="both"/>
              <w:rPr>
                <w:rFonts w:ascii="Times New Roman" w:eastAsia="Times New Roman" w:hAnsi="Times New Roman"/>
                <w:bCs/>
                <w:sz w:val="24"/>
                <w:szCs w:val="28"/>
                <w:lang w:eastAsia="x-none"/>
              </w:rPr>
            </w:pPr>
            <w:r w:rsidRPr="00CA504F">
              <w:rPr>
                <w:rFonts w:ascii="Times New Roman" w:eastAsia="Times New Roman" w:hAnsi="Times New Roman"/>
                <w:bCs/>
                <w:sz w:val="24"/>
                <w:szCs w:val="28"/>
                <w:lang w:eastAsia="x-none"/>
              </w:rPr>
              <w:t>Nam giới 60 tuổi, phụ nữ 55 tuổi, hoặc thợ hầm lò 50 tuổi với ít nhất 2 năm nhưng dưới 15 năm đóng góp. Mức hưởng hưu trí một lần được tính bằng một tháng lương bình quân của người được bảo hiểm đối với mỗi năm đóng góp.</w:t>
            </w:r>
          </w:p>
        </w:tc>
      </w:tr>
    </w:tbl>
    <w:p w14:paraId="1DBC1189" w14:textId="4A274805" w:rsidR="002160FC" w:rsidRPr="00CA504F" w:rsidRDefault="002160FC" w:rsidP="00185206">
      <w:pPr>
        <w:spacing w:after="120"/>
        <w:jc w:val="right"/>
        <w:rPr>
          <w:rFonts w:ascii="Times New Roman" w:eastAsia="Times New Roman" w:hAnsi="Times New Roman"/>
          <w:i/>
          <w:sz w:val="26"/>
          <w:szCs w:val="24"/>
        </w:rPr>
      </w:pPr>
      <w:r w:rsidRPr="00CA504F">
        <w:rPr>
          <w:rFonts w:ascii="Times New Roman" w:eastAsia="Times New Roman" w:hAnsi="Times New Roman"/>
          <w:i/>
          <w:sz w:val="26"/>
          <w:szCs w:val="24"/>
        </w:rPr>
        <w:t>Nguồn: Các chương trình bảo hiểm xã hội trên khắp thế giới. https://www.ssa.gov/policy/docs/progdesc/ssptw/.</w:t>
      </w:r>
    </w:p>
    <w:p w14:paraId="4F4B5DDF" w14:textId="6D4B78BD" w:rsidR="002160FC" w:rsidRPr="00CA504F" w:rsidRDefault="002160FC" w:rsidP="00251742">
      <w:pPr>
        <w:spacing w:after="120"/>
        <w:ind w:firstLine="720"/>
        <w:jc w:val="both"/>
        <w:rPr>
          <w:rFonts w:ascii="Times New Roman" w:hAnsi="Times New Roman"/>
          <w:spacing w:val="-2"/>
          <w:sz w:val="28"/>
          <w:szCs w:val="28"/>
        </w:rPr>
      </w:pPr>
      <w:r w:rsidRPr="00CA504F">
        <w:rPr>
          <w:rFonts w:ascii="Times New Roman" w:eastAsia="Times New Roman" w:hAnsi="Times New Roman"/>
          <w:bCs/>
          <w:spacing w:val="-2"/>
          <w:sz w:val="28"/>
          <w:szCs w:val="28"/>
          <w:lang w:eastAsia="x-none"/>
        </w:rPr>
        <w:t>Nhìn chung, việc chi trả BHXH một lần chỉ được các quốc gia thực hiện khi người lao động đến tuổi nghỉ hưu mà không đủ điều kiện hưởng hưu trí định kỳ (hàng tháng, quý hoặc năm) (</w:t>
      </w:r>
      <w:r w:rsidRPr="00CA504F">
        <w:rPr>
          <w:rFonts w:ascii="Times New Roman" w:eastAsia="Times New Roman" w:hAnsi="Times New Roman"/>
          <w:bCs/>
          <w:i/>
          <w:spacing w:val="-2"/>
          <w:sz w:val="28"/>
          <w:szCs w:val="28"/>
          <w:lang w:eastAsia="x-none"/>
        </w:rPr>
        <w:t xml:space="preserve">giống như quy định tại các </w:t>
      </w:r>
      <w:r w:rsidRPr="00CA504F">
        <w:rPr>
          <w:rFonts w:ascii="Times New Roman" w:eastAsia="Times New Roman" w:hAnsi="Times New Roman"/>
          <w:bCs/>
          <w:i/>
          <w:spacing w:val="-2"/>
          <w:sz w:val="28"/>
          <w:szCs w:val="28"/>
        </w:rPr>
        <w:t>Điều 60 và Điều 77 Luật BHXH năm 2014</w:t>
      </w:r>
      <w:r w:rsidRPr="00CA504F">
        <w:rPr>
          <w:rFonts w:ascii="Times New Roman" w:eastAsia="Times New Roman" w:hAnsi="Times New Roman"/>
          <w:bCs/>
          <w:spacing w:val="-2"/>
          <w:sz w:val="28"/>
          <w:szCs w:val="28"/>
        </w:rPr>
        <w:t xml:space="preserve">) </w:t>
      </w:r>
      <w:r w:rsidRPr="00CA504F">
        <w:rPr>
          <w:rFonts w:ascii="Times New Roman" w:eastAsia="Times New Roman" w:hAnsi="Times New Roman"/>
          <w:bCs/>
          <w:spacing w:val="-2"/>
          <w:sz w:val="28"/>
          <w:szCs w:val="28"/>
          <w:lang w:eastAsia="x-none"/>
        </w:rPr>
        <w:t xml:space="preserve">nhằm hoàn trả lại một phần hoặc toàn bộ số tiền người lao động đã đóng góp trong thời gian làm việc của mình. Điều kiện đóng góp để hưởng hưu trí cũng chỉ là 10 năm hoặc 15 năm, không quá dài như ở Việt Nam với 20 năm đóng BHXH. Hơn </w:t>
      </w:r>
      <w:r w:rsidRPr="00CA504F">
        <w:rPr>
          <w:rFonts w:ascii="Times New Roman" w:eastAsia="Times New Roman" w:hAnsi="Times New Roman"/>
          <w:bCs/>
          <w:spacing w:val="-2"/>
          <w:sz w:val="28"/>
          <w:szCs w:val="28"/>
          <w:lang w:eastAsia="x-none"/>
        </w:rPr>
        <w:lastRenderedPageBreak/>
        <w:t>nữa, người lao động thường được khuyến khích tiếp tục đóng BHXH để có thể đủ điều kiện hưởng hưu trí trong tương lai như trong trường hợp của Trung Quốc.</w:t>
      </w:r>
    </w:p>
    <w:p w14:paraId="07677CC1" w14:textId="50529A83" w:rsidR="0070092C" w:rsidRPr="00CA504F" w:rsidRDefault="0070092C">
      <w:pPr>
        <w:spacing w:after="120"/>
        <w:ind w:firstLine="720"/>
        <w:jc w:val="both"/>
        <w:rPr>
          <w:rFonts w:ascii="Times New Roman" w:eastAsia="Times New Roman" w:hAnsi="Times New Roman"/>
          <w:b/>
          <w:sz w:val="24"/>
          <w:szCs w:val="28"/>
        </w:rPr>
      </w:pPr>
      <w:r w:rsidRPr="00CA504F">
        <w:rPr>
          <w:rFonts w:ascii="Times New Roman" w:eastAsia="Times New Roman" w:hAnsi="Times New Roman"/>
          <w:b/>
          <w:sz w:val="24"/>
          <w:szCs w:val="28"/>
        </w:rPr>
        <w:t>I</w:t>
      </w:r>
      <w:r w:rsidR="00DD019D" w:rsidRPr="00CA504F">
        <w:rPr>
          <w:rFonts w:ascii="Times New Roman" w:eastAsia="Times New Roman" w:hAnsi="Times New Roman"/>
          <w:b/>
          <w:sz w:val="24"/>
          <w:szCs w:val="28"/>
        </w:rPr>
        <w:t>V</w:t>
      </w:r>
      <w:r w:rsidRPr="00CA504F">
        <w:rPr>
          <w:rFonts w:ascii="Times New Roman" w:eastAsia="Times New Roman" w:hAnsi="Times New Roman"/>
          <w:b/>
          <w:sz w:val="24"/>
          <w:szCs w:val="28"/>
        </w:rPr>
        <w:t>. KIẾN NGHỊ VÀ ĐỀ XUẤT</w:t>
      </w:r>
    </w:p>
    <w:p w14:paraId="5BA3A1A7" w14:textId="2B074513" w:rsidR="007B12E1" w:rsidRPr="00CA504F" w:rsidRDefault="00E07AF2">
      <w:pPr>
        <w:spacing w:after="120"/>
        <w:ind w:firstLine="720"/>
        <w:jc w:val="both"/>
        <w:rPr>
          <w:rFonts w:ascii="Times New Roman" w:eastAsia="Times New Roman" w:hAnsi="Times New Roman"/>
          <w:sz w:val="28"/>
          <w:szCs w:val="28"/>
        </w:rPr>
      </w:pPr>
      <w:r w:rsidRPr="00CA504F">
        <w:rPr>
          <w:rFonts w:ascii="Times New Roman" w:eastAsia="Times New Roman" w:hAnsi="Times New Roman"/>
          <w:sz w:val="28"/>
          <w:szCs w:val="28"/>
        </w:rPr>
        <w:t xml:space="preserve">Chế độ hưu trí là chế độ của tuổi già, pháp luật bắt buộc người sử dụng lao động phải có trách nhiệm đóng góp </w:t>
      </w:r>
      <w:r w:rsidR="007B12E1" w:rsidRPr="00CA504F">
        <w:rPr>
          <w:rFonts w:ascii="Times New Roman" w:eastAsia="Times New Roman" w:hAnsi="Times New Roman"/>
          <w:sz w:val="28"/>
          <w:szCs w:val="28"/>
        </w:rPr>
        <w:t xml:space="preserve">cùng với phần đóng góp của người lao động trong quá trình làm việc để khi người lao động về già, không còn khả năng lao động thì được quỹ </w:t>
      </w:r>
      <w:r w:rsidR="000057B9" w:rsidRPr="00CA504F">
        <w:rPr>
          <w:rFonts w:ascii="Times New Roman" w:eastAsia="Times New Roman" w:hAnsi="Times New Roman"/>
          <w:sz w:val="28"/>
          <w:szCs w:val="28"/>
        </w:rPr>
        <w:t>BHXH</w:t>
      </w:r>
      <w:r w:rsidR="007B12E1" w:rsidRPr="00CA504F">
        <w:rPr>
          <w:rFonts w:ascii="Times New Roman" w:eastAsia="Times New Roman" w:hAnsi="Times New Roman"/>
          <w:sz w:val="28"/>
          <w:szCs w:val="28"/>
        </w:rPr>
        <w:t xml:space="preserve"> chi trả lương hưu nhằm ổn định cuộc sống của người lao động và già đình họ. Việc nhiều ngư</w:t>
      </w:r>
      <w:r w:rsidR="0086271A" w:rsidRPr="00CA504F">
        <w:rPr>
          <w:rFonts w:ascii="Times New Roman" w:eastAsia="Times New Roman" w:hAnsi="Times New Roman"/>
          <w:sz w:val="28"/>
          <w:szCs w:val="28"/>
        </w:rPr>
        <w:t>ời</w:t>
      </w:r>
      <w:r w:rsidR="007B12E1" w:rsidRPr="00CA504F">
        <w:rPr>
          <w:rFonts w:ascii="Times New Roman" w:eastAsia="Times New Roman" w:hAnsi="Times New Roman"/>
          <w:sz w:val="28"/>
          <w:szCs w:val="28"/>
        </w:rPr>
        <w:t xml:space="preserve"> lao động </w:t>
      </w:r>
      <w:r w:rsidR="00D80716" w:rsidRPr="00CA504F">
        <w:rPr>
          <w:rFonts w:ascii="Times New Roman" w:eastAsia="Times New Roman" w:hAnsi="Times New Roman"/>
          <w:sz w:val="28"/>
          <w:szCs w:val="28"/>
        </w:rPr>
        <w:t xml:space="preserve">lựa chọn nhận </w:t>
      </w:r>
      <w:r w:rsidR="000057B9" w:rsidRPr="00CA504F">
        <w:rPr>
          <w:rFonts w:ascii="Times New Roman" w:eastAsia="Times New Roman" w:hAnsi="Times New Roman"/>
          <w:sz w:val="28"/>
          <w:szCs w:val="28"/>
        </w:rPr>
        <w:t>BHXH</w:t>
      </w:r>
      <w:r w:rsidR="00D80716" w:rsidRPr="00CA504F">
        <w:rPr>
          <w:rFonts w:ascii="Times New Roman" w:eastAsia="Times New Roman" w:hAnsi="Times New Roman"/>
          <w:sz w:val="28"/>
          <w:szCs w:val="28"/>
        </w:rPr>
        <w:t xml:space="preserve"> một lần </w:t>
      </w:r>
      <w:r w:rsidR="007B12E1" w:rsidRPr="00CA504F">
        <w:rPr>
          <w:rFonts w:ascii="Times New Roman" w:eastAsia="Times New Roman" w:hAnsi="Times New Roman"/>
          <w:sz w:val="28"/>
          <w:szCs w:val="28"/>
        </w:rPr>
        <w:t xml:space="preserve">khi còn trẻ sẽ không đảm bảo mục tiêu cuối cùng của chế độ hưu trí. Tuy nhiên, do quy định về hưởng </w:t>
      </w:r>
      <w:r w:rsidR="000057B9" w:rsidRPr="00CA504F">
        <w:rPr>
          <w:rFonts w:ascii="Times New Roman" w:eastAsia="Times New Roman" w:hAnsi="Times New Roman"/>
          <w:sz w:val="28"/>
          <w:szCs w:val="28"/>
        </w:rPr>
        <w:t>BHXH</w:t>
      </w:r>
      <w:r w:rsidR="007B12E1" w:rsidRPr="00CA504F">
        <w:rPr>
          <w:rFonts w:ascii="Times New Roman" w:eastAsia="Times New Roman" w:hAnsi="Times New Roman"/>
          <w:sz w:val="28"/>
          <w:szCs w:val="28"/>
        </w:rPr>
        <w:t xml:space="preserve"> một lần được kế thừa từ các quy định trước đây nên việc thay đổi thường gặp phải phản ứng của một bộ phận </w:t>
      </w:r>
      <w:r w:rsidR="00D80716" w:rsidRPr="00CA504F">
        <w:rPr>
          <w:rFonts w:ascii="Times New Roman" w:eastAsia="Times New Roman" w:hAnsi="Times New Roman"/>
          <w:sz w:val="28"/>
          <w:szCs w:val="28"/>
        </w:rPr>
        <w:t xml:space="preserve">người lao động. Vì vậy, </w:t>
      </w:r>
      <w:r w:rsidR="00DD019D" w:rsidRPr="00CA504F">
        <w:rPr>
          <w:rFonts w:ascii="Times New Roman" w:eastAsia="Times New Roman" w:hAnsi="Times New Roman"/>
          <w:sz w:val="28"/>
          <w:szCs w:val="28"/>
        </w:rPr>
        <w:t xml:space="preserve">để hạn chế tình trạng hưởng BHXH một lần, khuyến khích người lao động bảo lưu, tích lũy thời gian đóng BHXH trong quá trình làm việc để được hưởng lương hưu khi về già cần thực hiện đồng bộ </w:t>
      </w:r>
      <w:r w:rsidR="00951CAD" w:rsidRPr="00CA504F">
        <w:rPr>
          <w:rFonts w:ascii="Times New Roman" w:eastAsia="Times New Roman" w:hAnsi="Times New Roman"/>
          <w:sz w:val="28"/>
          <w:szCs w:val="28"/>
        </w:rPr>
        <w:t>các</w:t>
      </w:r>
      <w:r w:rsidR="00DD019D" w:rsidRPr="00CA504F">
        <w:rPr>
          <w:rFonts w:ascii="Times New Roman" w:eastAsia="Times New Roman" w:hAnsi="Times New Roman"/>
          <w:sz w:val="28"/>
          <w:szCs w:val="28"/>
        </w:rPr>
        <w:t xml:space="preserve"> giải pháp, </w:t>
      </w:r>
      <w:r w:rsidR="00951CAD" w:rsidRPr="00CA504F">
        <w:rPr>
          <w:rFonts w:ascii="Times New Roman" w:eastAsia="Times New Roman" w:hAnsi="Times New Roman"/>
          <w:sz w:val="28"/>
          <w:szCs w:val="28"/>
        </w:rPr>
        <w:t xml:space="preserve">cả </w:t>
      </w:r>
      <w:r w:rsidR="00DD019D" w:rsidRPr="00CA504F">
        <w:rPr>
          <w:rFonts w:ascii="Times New Roman" w:eastAsia="Times New Roman" w:hAnsi="Times New Roman"/>
          <w:sz w:val="28"/>
          <w:szCs w:val="28"/>
        </w:rPr>
        <w:t xml:space="preserve">giải pháp </w:t>
      </w:r>
      <w:r w:rsidR="00951CAD" w:rsidRPr="00CA504F">
        <w:rPr>
          <w:rFonts w:ascii="Times New Roman" w:eastAsia="Times New Roman" w:hAnsi="Times New Roman"/>
          <w:sz w:val="28"/>
          <w:szCs w:val="28"/>
        </w:rPr>
        <w:t xml:space="preserve">trực tiếp </w:t>
      </w:r>
      <w:r w:rsidR="00414F03" w:rsidRPr="00CA504F">
        <w:rPr>
          <w:rFonts w:ascii="Times New Roman" w:eastAsia="Times New Roman" w:hAnsi="Times New Roman"/>
          <w:sz w:val="28"/>
          <w:szCs w:val="28"/>
        </w:rPr>
        <w:t xml:space="preserve">điều chỉnh quy định về hưởng BHXH một lần </w:t>
      </w:r>
      <w:r w:rsidR="00951CAD" w:rsidRPr="00CA504F">
        <w:rPr>
          <w:rFonts w:ascii="Times New Roman" w:eastAsia="Times New Roman" w:hAnsi="Times New Roman"/>
          <w:sz w:val="28"/>
          <w:szCs w:val="28"/>
        </w:rPr>
        <w:t xml:space="preserve">và giải pháp </w:t>
      </w:r>
      <w:r w:rsidR="00DD019D" w:rsidRPr="00CA504F">
        <w:rPr>
          <w:rFonts w:ascii="Times New Roman" w:eastAsia="Times New Roman" w:hAnsi="Times New Roman"/>
          <w:sz w:val="28"/>
          <w:szCs w:val="28"/>
        </w:rPr>
        <w:t>gián tiếp</w:t>
      </w:r>
      <w:r w:rsidR="00951CAD" w:rsidRPr="00CA504F">
        <w:rPr>
          <w:rFonts w:ascii="Times New Roman" w:eastAsia="Times New Roman" w:hAnsi="Times New Roman"/>
          <w:sz w:val="28"/>
          <w:szCs w:val="28"/>
        </w:rPr>
        <w:t>,</w:t>
      </w:r>
      <w:r w:rsidR="00DD019D" w:rsidRPr="00CA504F">
        <w:rPr>
          <w:rFonts w:ascii="Times New Roman" w:eastAsia="Times New Roman" w:hAnsi="Times New Roman"/>
          <w:sz w:val="28"/>
          <w:szCs w:val="28"/>
        </w:rPr>
        <w:t xml:space="preserve"> khuyến khích người lao động không </w:t>
      </w:r>
      <w:r w:rsidR="007B12E1" w:rsidRPr="00CA504F">
        <w:rPr>
          <w:rFonts w:ascii="Times New Roman" w:eastAsia="Times New Roman" w:hAnsi="Times New Roman"/>
          <w:sz w:val="28"/>
          <w:szCs w:val="28"/>
        </w:rPr>
        <w:t xml:space="preserve">nhận </w:t>
      </w:r>
      <w:r w:rsidR="00DD019D" w:rsidRPr="00CA504F">
        <w:rPr>
          <w:rFonts w:ascii="Times New Roman" w:eastAsia="Times New Roman" w:hAnsi="Times New Roman"/>
          <w:sz w:val="28"/>
          <w:szCs w:val="28"/>
        </w:rPr>
        <w:t>BHXH</w:t>
      </w:r>
      <w:r w:rsidR="00951CAD" w:rsidRPr="00CA504F">
        <w:rPr>
          <w:rFonts w:ascii="Times New Roman" w:eastAsia="Times New Roman" w:hAnsi="Times New Roman"/>
          <w:sz w:val="28"/>
          <w:szCs w:val="28"/>
        </w:rPr>
        <w:t xml:space="preserve"> một lần</w:t>
      </w:r>
      <w:r w:rsidR="007B12E1" w:rsidRPr="00CA504F">
        <w:rPr>
          <w:rFonts w:ascii="Times New Roman" w:eastAsia="Times New Roman" w:hAnsi="Times New Roman"/>
          <w:sz w:val="28"/>
          <w:szCs w:val="28"/>
        </w:rPr>
        <w:t>.</w:t>
      </w:r>
    </w:p>
    <w:p w14:paraId="559C0C6E" w14:textId="0372D913" w:rsidR="00DD019D" w:rsidRPr="00CA504F" w:rsidRDefault="00DD019D">
      <w:pPr>
        <w:spacing w:after="120"/>
        <w:ind w:firstLine="720"/>
        <w:jc w:val="both"/>
        <w:rPr>
          <w:rFonts w:ascii="Times New Roman" w:eastAsia="Times New Roman" w:hAnsi="Times New Roman"/>
          <w:b/>
          <w:sz w:val="28"/>
          <w:szCs w:val="28"/>
          <w:shd w:val="clear" w:color="auto" w:fill="FFFFFF"/>
        </w:rPr>
      </w:pPr>
      <w:r w:rsidRPr="00CA504F">
        <w:rPr>
          <w:rFonts w:ascii="Times New Roman" w:eastAsia="Times New Roman" w:hAnsi="Times New Roman"/>
          <w:b/>
          <w:sz w:val="28"/>
          <w:szCs w:val="28"/>
          <w:shd w:val="clear" w:color="auto" w:fill="FFFFFF"/>
        </w:rPr>
        <w:t xml:space="preserve">1. Giải pháp </w:t>
      </w:r>
      <w:r w:rsidR="00951CAD" w:rsidRPr="00CA504F">
        <w:rPr>
          <w:rFonts w:ascii="Times New Roman" w:eastAsia="Times New Roman" w:hAnsi="Times New Roman"/>
          <w:b/>
          <w:sz w:val="28"/>
          <w:szCs w:val="28"/>
          <w:shd w:val="clear" w:color="auto" w:fill="FFFFFF"/>
        </w:rPr>
        <w:t>gián tiếp, khuyến khích người lao động không nhận BHXH một lần</w:t>
      </w:r>
    </w:p>
    <w:p w14:paraId="249298BB" w14:textId="678F7C76" w:rsidR="002B21C1" w:rsidRPr="00CA504F" w:rsidRDefault="00464756">
      <w:pPr>
        <w:spacing w:after="120"/>
        <w:ind w:firstLine="720"/>
        <w:jc w:val="both"/>
        <w:rPr>
          <w:rFonts w:ascii="Times New Roman" w:eastAsia="Times New Roman" w:hAnsi="Times New Roman"/>
          <w:b/>
          <w:i/>
          <w:sz w:val="28"/>
          <w:szCs w:val="28"/>
          <w:shd w:val="clear" w:color="auto" w:fill="FFFFFF"/>
        </w:rPr>
      </w:pPr>
      <w:r w:rsidRPr="00CA504F">
        <w:rPr>
          <w:rFonts w:ascii="Times New Roman" w:hAnsi="Times New Roman"/>
          <w:b/>
          <w:i/>
          <w:sz w:val="28"/>
          <w:szCs w:val="28"/>
        </w:rPr>
        <w:t>1.1.</w:t>
      </w:r>
      <w:r w:rsidR="002B21C1" w:rsidRPr="00CA504F">
        <w:rPr>
          <w:rFonts w:ascii="Times New Roman" w:hAnsi="Times New Roman"/>
          <w:b/>
          <w:i/>
          <w:sz w:val="28"/>
          <w:szCs w:val="28"/>
        </w:rPr>
        <w:t xml:space="preserve"> </w:t>
      </w:r>
      <w:r w:rsidR="002B21C1" w:rsidRPr="00CA504F">
        <w:rPr>
          <w:rFonts w:ascii="Times New Roman" w:eastAsia="Times New Roman" w:hAnsi="Times New Roman"/>
          <w:b/>
          <w:i/>
          <w:sz w:val="28"/>
          <w:szCs w:val="28"/>
          <w:shd w:val="clear" w:color="auto" w:fill="FFFFFF"/>
        </w:rPr>
        <w:t>Sửa đổi điều kiện hưởng chế độ hưu trí theo hướng giảm dần số năm đóng bảo hiểm xã hội tối thiểu để được hưởng chế độ hưu trí</w:t>
      </w:r>
    </w:p>
    <w:p w14:paraId="40EBD38F" w14:textId="6BFA81C8" w:rsidR="005E52E3" w:rsidRPr="00CA504F" w:rsidRDefault="005E52E3">
      <w:pPr>
        <w:spacing w:after="120"/>
        <w:ind w:firstLine="720"/>
        <w:jc w:val="both"/>
        <w:rPr>
          <w:rFonts w:ascii="Times New Roman" w:eastAsia="Times New Roman" w:hAnsi="Times New Roman"/>
          <w:spacing w:val="-2"/>
          <w:sz w:val="28"/>
          <w:szCs w:val="28"/>
          <w:shd w:val="clear" w:color="auto" w:fill="FFFFFF"/>
        </w:rPr>
      </w:pPr>
      <w:r w:rsidRPr="00CA504F">
        <w:rPr>
          <w:rFonts w:ascii="Times New Roman" w:eastAsia="Times New Roman" w:hAnsi="Times New Roman"/>
          <w:spacing w:val="-2"/>
          <w:sz w:val="28"/>
          <w:szCs w:val="28"/>
          <w:shd w:val="clear" w:color="auto" w:fill="FFFFFF"/>
        </w:rPr>
        <w:t>Hiện nay, theo quy định của Luật BHXH điều kiện về thời gian đóng BHXH tối thiểu để đư</w:t>
      </w:r>
      <w:r w:rsidR="00555422" w:rsidRPr="00CA504F">
        <w:rPr>
          <w:rFonts w:ascii="Times New Roman" w:eastAsia="Times New Roman" w:hAnsi="Times New Roman"/>
          <w:spacing w:val="-2"/>
          <w:sz w:val="28"/>
          <w:szCs w:val="28"/>
          <w:shd w:val="clear" w:color="auto" w:fill="FFFFFF"/>
        </w:rPr>
        <w:t>ợc hưởng lương hưu là đủ 20 năm</w:t>
      </w:r>
      <w:r w:rsidRPr="00CA504F">
        <w:rPr>
          <w:rFonts w:ascii="Times New Roman" w:eastAsia="Times New Roman" w:hAnsi="Times New Roman"/>
          <w:spacing w:val="-2"/>
          <w:sz w:val="28"/>
          <w:szCs w:val="28"/>
          <w:shd w:val="clear" w:color="auto" w:fill="FFFFFF"/>
        </w:rPr>
        <w:t>. Điều này dẫn đến nhiều người không tích lũy đủ số năm đóng BHXH để được hưởng lương hưu, nhiều người không đủ kiên nhẫn nên rời bỏ hệ thống BHXH, đây cũng là một trong những nguyên nhân dẫn đến số lượng người hưởng BHXH 1 lần lớn và có xu hướng tăng nhanh thời gian qua.</w:t>
      </w:r>
    </w:p>
    <w:p w14:paraId="5A082CEE" w14:textId="0507450C" w:rsidR="002B21C1" w:rsidRPr="00CA504F" w:rsidRDefault="005E52E3">
      <w:pPr>
        <w:spacing w:after="120"/>
        <w:ind w:firstLine="720"/>
        <w:jc w:val="both"/>
        <w:rPr>
          <w:rFonts w:ascii="Times New Roman" w:eastAsia="Times New Roman" w:hAnsi="Times New Roman"/>
          <w:sz w:val="28"/>
          <w:szCs w:val="28"/>
          <w:shd w:val="clear" w:color="auto" w:fill="FFFFFF"/>
        </w:rPr>
      </w:pPr>
      <w:r w:rsidRPr="00CA504F">
        <w:rPr>
          <w:rFonts w:ascii="Times New Roman" w:eastAsia="Times New Roman" w:hAnsi="Times New Roman"/>
          <w:sz w:val="28"/>
          <w:szCs w:val="28"/>
          <w:shd w:val="clear" w:color="auto" w:fill="FFFFFF"/>
        </w:rPr>
        <w:t xml:space="preserve">Việc sửa </w:t>
      </w:r>
      <w:r w:rsidR="002B21C1" w:rsidRPr="00CA504F">
        <w:rPr>
          <w:rFonts w:ascii="Times New Roman" w:eastAsia="Times New Roman" w:hAnsi="Times New Roman"/>
          <w:sz w:val="28"/>
          <w:szCs w:val="28"/>
          <w:shd w:val="clear" w:color="auto" w:fill="FFFFFF"/>
        </w:rPr>
        <w:t xml:space="preserve">đổi điều kiện hưởng chế độ hưu trí theo hướng giảm dần số năm đóng bảo hiểm xã hội tối thiểu để được hưởng chế độ hưu trí từ 20 năm xuống 15 năm, hướng tới còn 10 năm với mức hưởng được tính toán phù hợp </w:t>
      </w:r>
      <w:r w:rsidR="000E3F4A" w:rsidRPr="00CA504F">
        <w:rPr>
          <w:rFonts w:ascii="Times New Roman" w:eastAsia="Times New Roman" w:hAnsi="Times New Roman"/>
          <w:sz w:val="28"/>
          <w:szCs w:val="28"/>
          <w:shd w:val="clear" w:color="auto" w:fill="FFFFFF"/>
        </w:rPr>
        <w:t xml:space="preserve">theo tinh thần của Nghị quyết số 28-NQ/TW </w:t>
      </w:r>
      <w:r w:rsidRPr="00CA504F">
        <w:rPr>
          <w:rFonts w:ascii="Times New Roman" w:eastAsia="Times New Roman" w:hAnsi="Times New Roman"/>
          <w:sz w:val="28"/>
          <w:szCs w:val="28"/>
          <w:shd w:val="clear" w:color="auto" w:fill="FFFFFF"/>
        </w:rPr>
        <w:t xml:space="preserve">sẽ góp phần giảm số người hưởng BHXH </w:t>
      </w:r>
      <w:r w:rsidR="00951CAD" w:rsidRPr="00CA504F">
        <w:rPr>
          <w:rFonts w:ascii="Times New Roman" w:eastAsia="Times New Roman" w:hAnsi="Times New Roman"/>
          <w:sz w:val="28"/>
          <w:szCs w:val="28"/>
          <w:shd w:val="clear" w:color="auto" w:fill="FFFFFF"/>
        </w:rPr>
        <w:t>một</w:t>
      </w:r>
      <w:r w:rsidRPr="00CA504F">
        <w:rPr>
          <w:rFonts w:ascii="Times New Roman" w:eastAsia="Times New Roman" w:hAnsi="Times New Roman"/>
          <w:sz w:val="28"/>
          <w:szCs w:val="28"/>
          <w:shd w:val="clear" w:color="auto" w:fill="FFFFFF"/>
        </w:rPr>
        <w:t xml:space="preserve"> lần do họ đủ điều kiện về thời gian đóng để được hưởng lương hưu</w:t>
      </w:r>
      <w:r w:rsidR="002B21C1" w:rsidRPr="00CA504F">
        <w:rPr>
          <w:rFonts w:ascii="Times New Roman" w:eastAsia="Times New Roman" w:hAnsi="Times New Roman"/>
          <w:sz w:val="28"/>
          <w:szCs w:val="28"/>
          <w:shd w:val="clear" w:color="auto" w:fill="FFFFFF"/>
        </w:rPr>
        <w:t xml:space="preserve">.  </w:t>
      </w:r>
    </w:p>
    <w:p w14:paraId="52487382" w14:textId="14F71140" w:rsidR="00D93AFA" w:rsidRPr="00CA504F" w:rsidRDefault="005E52E3">
      <w:pPr>
        <w:spacing w:after="120"/>
        <w:ind w:firstLine="720"/>
        <w:jc w:val="both"/>
        <w:rPr>
          <w:rFonts w:ascii="Times New Roman" w:hAnsi="Times New Roman"/>
          <w:sz w:val="28"/>
          <w:szCs w:val="28"/>
        </w:rPr>
      </w:pPr>
      <w:r w:rsidRPr="00CA504F">
        <w:rPr>
          <w:rFonts w:ascii="Times New Roman" w:hAnsi="Times New Roman"/>
          <w:sz w:val="28"/>
          <w:szCs w:val="28"/>
        </w:rPr>
        <w:t xml:space="preserve">Theo số liệu thống kê về số người hưởng BHXH </w:t>
      </w:r>
      <w:r w:rsidR="00951CAD" w:rsidRPr="00CA504F">
        <w:rPr>
          <w:rFonts w:ascii="Times New Roman" w:hAnsi="Times New Roman"/>
          <w:sz w:val="28"/>
          <w:szCs w:val="28"/>
        </w:rPr>
        <w:t>một</w:t>
      </w:r>
      <w:r w:rsidRPr="00CA504F">
        <w:rPr>
          <w:rFonts w:ascii="Times New Roman" w:hAnsi="Times New Roman"/>
          <w:sz w:val="28"/>
          <w:szCs w:val="28"/>
        </w:rPr>
        <w:t xml:space="preserve"> lần phân theo thời gian </w:t>
      </w:r>
      <w:r w:rsidR="00E45EA6" w:rsidRPr="00CA504F">
        <w:rPr>
          <w:rFonts w:ascii="Times New Roman" w:hAnsi="Times New Roman"/>
          <w:sz w:val="28"/>
          <w:szCs w:val="28"/>
        </w:rPr>
        <w:t xml:space="preserve">đã </w:t>
      </w:r>
      <w:r w:rsidRPr="00CA504F">
        <w:rPr>
          <w:rFonts w:ascii="Times New Roman" w:hAnsi="Times New Roman"/>
          <w:sz w:val="28"/>
          <w:szCs w:val="28"/>
        </w:rPr>
        <w:t>đóng</w:t>
      </w:r>
      <w:r w:rsidR="00E45EA6" w:rsidRPr="00CA504F">
        <w:rPr>
          <w:rFonts w:ascii="Times New Roman" w:hAnsi="Times New Roman"/>
          <w:sz w:val="28"/>
          <w:szCs w:val="28"/>
        </w:rPr>
        <w:t xml:space="preserve"> BHXH thời gian qua cho thấy, v</w:t>
      </w:r>
      <w:r w:rsidRPr="00CA504F">
        <w:rPr>
          <w:rFonts w:ascii="Times New Roman" w:hAnsi="Times New Roman"/>
          <w:sz w:val="28"/>
          <w:szCs w:val="28"/>
        </w:rPr>
        <w:t xml:space="preserve">ới việc sửa đổi điều kiện hưởng chế độ hưu trí theo hướng giảm dần số năm đóng BHXH tối thiểu để được hưởng chế độ hưu trí từ 20 năm xuống 15 năm tiến tới còn 10 năm sẽ làm </w:t>
      </w:r>
      <w:r w:rsidR="00E45EA6" w:rsidRPr="00CA504F">
        <w:rPr>
          <w:rFonts w:ascii="Times New Roman" w:hAnsi="Times New Roman"/>
          <w:sz w:val="28"/>
          <w:szCs w:val="28"/>
        </w:rPr>
        <w:t>giảm đối tượng hưởng BHXH 1 lần (</w:t>
      </w:r>
      <w:r w:rsidRPr="00CA504F">
        <w:rPr>
          <w:rFonts w:ascii="Times New Roman" w:hAnsi="Times New Roman"/>
          <w:sz w:val="28"/>
          <w:szCs w:val="28"/>
        </w:rPr>
        <w:t>tăng đối tượng hưởng lương hưu</w:t>
      </w:r>
      <w:r w:rsidR="00E45EA6" w:rsidRPr="00CA504F">
        <w:rPr>
          <w:rFonts w:ascii="Times New Roman" w:hAnsi="Times New Roman"/>
          <w:sz w:val="28"/>
          <w:szCs w:val="28"/>
        </w:rPr>
        <w:t>)</w:t>
      </w:r>
      <w:r w:rsidRPr="00CA504F">
        <w:rPr>
          <w:rFonts w:ascii="Times New Roman" w:hAnsi="Times New Roman"/>
          <w:sz w:val="28"/>
          <w:szCs w:val="28"/>
        </w:rPr>
        <w:t xml:space="preserve"> bình quân </w:t>
      </w:r>
      <w:r w:rsidR="00E45EA6" w:rsidRPr="00CA504F">
        <w:rPr>
          <w:rFonts w:ascii="Times New Roman" w:hAnsi="Times New Roman"/>
          <w:sz w:val="28"/>
          <w:szCs w:val="28"/>
        </w:rPr>
        <w:t xml:space="preserve">ít nhất </w:t>
      </w:r>
      <w:r w:rsidRPr="00CA504F">
        <w:rPr>
          <w:rFonts w:ascii="Times New Roman" w:hAnsi="Times New Roman"/>
          <w:sz w:val="28"/>
          <w:szCs w:val="28"/>
        </w:rPr>
        <w:t>khoảng trên 10.000 đến trên 40.000 người mỗi năm.</w:t>
      </w:r>
      <w:r w:rsidR="00E45EA6" w:rsidRPr="00CA504F">
        <w:rPr>
          <w:rFonts w:ascii="Times New Roman" w:hAnsi="Times New Roman"/>
          <w:sz w:val="28"/>
          <w:szCs w:val="28"/>
        </w:rPr>
        <w:t xml:space="preserve"> Ngoài ra, </w:t>
      </w:r>
      <w:r w:rsidR="00D93AFA" w:rsidRPr="00CA504F">
        <w:rPr>
          <w:rFonts w:ascii="Times New Roman" w:hAnsi="Times New Roman"/>
          <w:sz w:val="28"/>
          <w:szCs w:val="28"/>
        </w:rPr>
        <w:t>số liệu thống kê của Bảo hiểm xã hội Việt Nam</w:t>
      </w:r>
      <w:r w:rsidR="00E45EA6" w:rsidRPr="00CA504F">
        <w:rPr>
          <w:rFonts w:ascii="Times New Roman" w:hAnsi="Times New Roman"/>
          <w:sz w:val="28"/>
          <w:szCs w:val="28"/>
        </w:rPr>
        <w:t xml:space="preserve"> cũng cho thấy</w:t>
      </w:r>
      <w:r w:rsidR="00D93AFA" w:rsidRPr="00CA504F">
        <w:rPr>
          <w:rFonts w:ascii="Times New Roman" w:hAnsi="Times New Roman"/>
          <w:sz w:val="28"/>
          <w:szCs w:val="28"/>
        </w:rPr>
        <w:t xml:space="preserve">, tổng thời gian đóng bình quân theo năm của các độ tuổi tăng </w:t>
      </w:r>
      <w:r w:rsidR="00D93AFA" w:rsidRPr="00CA504F">
        <w:rPr>
          <w:rFonts w:ascii="Times New Roman" w:hAnsi="Times New Roman"/>
          <w:sz w:val="28"/>
          <w:szCs w:val="28"/>
        </w:rPr>
        <w:lastRenderedPageBreak/>
        <w:t>dần từ lao động có độ tuổi thấp đến cao, đặc biệt độ tuổi từ trên 50 tuổi có số năm đóng BHXH bình quân là 7,23 năm. Như vậy, nếu vẫn giữ nguyên quy định điều kiện hưởng chế độ hưu trí đủ 20 năm thì những người lao động này khó có cơ hội hưởng lương hưu, từ đó họ lựa chọn nhận bảo hiểm xã hội một lầ</w:t>
      </w:r>
      <w:r w:rsidR="00464756" w:rsidRPr="00CA504F">
        <w:rPr>
          <w:rFonts w:ascii="Times New Roman" w:hAnsi="Times New Roman"/>
          <w:sz w:val="28"/>
          <w:szCs w:val="28"/>
        </w:rPr>
        <w:t>n; việc giảm điều kiện về thời gian đóng BHXH tối thiểu xuống 15 năm (tiến tới 10 khi đủ điều kiện cho phép) sẽ khuyến khích người lao động bảo lưu, tiếp tục tham gia BHXH để hưởng lương hưu.</w:t>
      </w:r>
    </w:p>
    <w:p w14:paraId="216B058D" w14:textId="4B41F1DB" w:rsidR="000E3F4A" w:rsidRPr="00CA504F" w:rsidRDefault="00464756">
      <w:pPr>
        <w:spacing w:after="120"/>
        <w:ind w:firstLine="720"/>
        <w:jc w:val="both"/>
        <w:rPr>
          <w:rFonts w:ascii="Times New Roman" w:eastAsia="Times New Roman" w:hAnsi="Times New Roman"/>
          <w:b/>
          <w:i/>
          <w:sz w:val="28"/>
          <w:szCs w:val="28"/>
        </w:rPr>
      </w:pPr>
      <w:r w:rsidRPr="00CA504F">
        <w:rPr>
          <w:rFonts w:ascii="Times New Roman" w:eastAsia="Times New Roman" w:hAnsi="Times New Roman"/>
          <w:b/>
          <w:i/>
          <w:sz w:val="28"/>
          <w:szCs w:val="28"/>
        </w:rPr>
        <w:t>1.2</w:t>
      </w:r>
      <w:r w:rsidR="005E52E3" w:rsidRPr="00CA504F">
        <w:rPr>
          <w:rFonts w:ascii="Times New Roman" w:eastAsia="Times New Roman" w:hAnsi="Times New Roman"/>
          <w:b/>
          <w:i/>
          <w:sz w:val="28"/>
          <w:szCs w:val="28"/>
        </w:rPr>
        <w:t>.</w:t>
      </w:r>
      <w:r w:rsidR="00833F60" w:rsidRPr="00CA504F">
        <w:rPr>
          <w:rFonts w:ascii="Times New Roman" w:eastAsia="Times New Roman" w:hAnsi="Times New Roman"/>
          <w:b/>
          <w:i/>
          <w:sz w:val="28"/>
          <w:szCs w:val="28"/>
        </w:rPr>
        <w:t xml:space="preserve"> </w:t>
      </w:r>
      <w:r w:rsidR="000E3F4A" w:rsidRPr="00CA504F">
        <w:rPr>
          <w:rFonts w:ascii="Times New Roman" w:eastAsia="Times New Roman" w:hAnsi="Times New Roman"/>
          <w:b/>
          <w:i/>
          <w:sz w:val="28"/>
          <w:szCs w:val="28"/>
        </w:rPr>
        <w:t>Xây dựng hệ thống BHXH đa tầng cùng với quy định liên kết giữa tầng trợ cấp hưu trí xã hội với tầng bảo hiểm xã hội cơ bản</w:t>
      </w:r>
    </w:p>
    <w:p w14:paraId="65D313D4" w14:textId="09B9DF2C" w:rsidR="000E3F4A" w:rsidRPr="00CA504F" w:rsidRDefault="000E3F4A">
      <w:pPr>
        <w:spacing w:after="120"/>
        <w:ind w:firstLine="720"/>
        <w:jc w:val="both"/>
        <w:rPr>
          <w:rFonts w:ascii="Times New Roman" w:eastAsia="Times New Roman" w:hAnsi="Times New Roman"/>
          <w:sz w:val="28"/>
          <w:szCs w:val="28"/>
        </w:rPr>
      </w:pPr>
      <w:r w:rsidRPr="00CA504F">
        <w:rPr>
          <w:rFonts w:ascii="Times New Roman" w:eastAsia="Times New Roman" w:hAnsi="Times New Roman"/>
          <w:sz w:val="28"/>
          <w:szCs w:val="28"/>
        </w:rPr>
        <w:t xml:space="preserve">Theo định hướng Nghị quyết số 28-NQ/TW hệ thống BHXH đa tầng gồm: (1) Trợ cấp hưu trí xã hội; (2) BHXH cơ bản, bao gồm BHXH bắt buộc và BHXH tự nguyện; (3) Bảo hiểm hưu trí bổ sung. Luật BHXH 2014 đã quy định về BHXH bắt buộc, BHXH tự nguyện và Bảo hiểm hưu trí bổ sung. Do vậy, việc bổ sung trợ cấp hưu trí xã hội trong Luật Bảo hiểm xã hội, trên cơ sở đó </w:t>
      </w:r>
      <w:r w:rsidR="00011D26" w:rsidRPr="00CA504F">
        <w:rPr>
          <w:rFonts w:ascii="Times New Roman" w:eastAsia="Times New Roman" w:hAnsi="Times New Roman"/>
          <w:sz w:val="28"/>
          <w:szCs w:val="28"/>
        </w:rPr>
        <w:t>nghiên cứu quy định để liên kết giữa trợ cấp hưu trí xã hội với bảo hiểm xã hội cơ bản, khuyến khích người lao động tự bảo đảm an sinh cho bản thân thông qua việc tham gia, bảo lưu thời gian đóng BHXH, không lựa chọn hưởng BHXH một lần</w:t>
      </w:r>
      <w:r w:rsidRPr="00CA504F">
        <w:rPr>
          <w:rFonts w:ascii="Times New Roman" w:eastAsia="Times New Roman" w:hAnsi="Times New Roman"/>
          <w:sz w:val="28"/>
          <w:szCs w:val="28"/>
        </w:rPr>
        <w:t xml:space="preserve">. </w:t>
      </w:r>
    </w:p>
    <w:p w14:paraId="52F172B2" w14:textId="335DE1A2" w:rsidR="000E3F4A" w:rsidRPr="00CA504F" w:rsidRDefault="00011D26">
      <w:pPr>
        <w:spacing w:after="120"/>
        <w:ind w:firstLine="720"/>
        <w:jc w:val="both"/>
        <w:rPr>
          <w:rFonts w:ascii="Times New Roman" w:eastAsia="Times New Roman" w:hAnsi="Times New Roman"/>
          <w:sz w:val="28"/>
          <w:szCs w:val="28"/>
        </w:rPr>
      </w:pPr>
      <w:r w:rsidRPr="00CA504F">
        <w:rPr>
          <w:rFonts w:ascii="Times New Roman" w:eastAsia="Times New Roman" w:hAnsi="Times New Roman"/>
          <w:sz w:val="28"/>
          <w:szCs w:val="28"/>
        </w:rPr>
        <w:t xml:space="preserve">Việc quy định </w:t>
      </w:r>
      <w:r w:rsidR="000E3F4A" w:rsidRPr="00CA504F">
        <w:rPr>
          <w:rFonts w:ascii="Times New Roman" w:eastAsia="Times New Roman" w:hAnsi="Times New Roman"/>
          <w:sz w:val="28"/>
          <w:szCs w:val="28"/>
        </w:rPr>
        <w:t>liên kết giữa trợ cấp hưu trí xã hội với bảo hiểm xã hội cơ bản</w:t>
      </w:r>
      <w:r w:rsidRPr="00CA504F">
        <w:rPr>
          <w:rFonts w:ascii="Times New Roman" w:eastAsia="Times New Roman" w:hAnsi="Times New Roman"/>
          <w:sz w:val="28"/>
          <w:szCs w:val="28"/>
        </w:rPr>
        <w:t xml:space="preserve"> để hướng tới những</w:t>
      </w:r>
      <w:r w:rsidR="000E3F4A" w:rsidRPr="00CA504F">
        <w:rPr>
          <w:rFonts w:ascii="Times New Roman" w:eastAsia="Times New Roman" w:hAnsi="Times New Roman"/>
          <w:sz w:val="28"/>
          <w:szCs w:val="28"/>
        </w:rPr>
        <w:t xml:space="preserve"> người lao động khi đến tuổi nghỉ hưu có thời gian đóng BHXH chưa đủ điều kiện hưởng lương hưu và </w:t>
      </w:r>
      <w:r w:rsidR="0063367A" w:rsidRPr="00CA504F">
        <w:rPr>
          <w:rFonts w:ascii="Times New Roman" w:eastAsia="Times New Roman" w:hAnsi="Times New Roman"/>
          <w:sz w:val="28"/>
          <w:szCs w:val="28"/>
        </w:rPr>
        <w:t xml:space="preserve">cũng </w:t>
      </w:r>
      <w:r w:rsidR="000E3F4A" w:rsidRPr="00CA504F">
        <w:rPr>
          <w:rFonts w:ascii="Times New Roman" w:eastAsia="Times New Roman" w:hAnsi="Times New Roman"/>
          <w:sz w:val="28"/>
          <w:szCs w:val="28"/>
        </w:rPr>
        <w:t xml:space="preserve">chưa đủ tuổi hưởng trợ cấp hưu trí xã hội được lựa chọn hưởng trợ cấp hàng tháng bằng với mức trợ cấp hưu trí xã hội cho thời gian trước khi đủ tuổi hưởng trợ cấp hưu trí xã hội tùy thuộc vào thời gian đóng, tiền lương, thu nhập tháng đóng BHXH của người lao động (Quỹ BHXH đảm bảo); đồng thời trong thời gian hưởng trợ cấp hàng tháng thì </w:t>
      </w:r>
      <w:r w:rsidR="0063367A" w:rsidRPr="00CA504F">
        <w:rPr>
          <w:rFonts w:ascii="Times New Roman" w:eastAsia="Times New Roman" w:hAnsi="Times New Roman"/>
          <w:sz w:val="28"/>
          <w:szCs w:val="28"/>
        </w:rPr>
        <w:t xml:space="preserve">người lao động </w:t>
      </w:r>
      <w:r w:rsidR="000E3F4A" w:rsidRPr="00CA504F">
        <w:rPr>
          <w:rFonts w:ascii="Times New Roman" w:eastAsia="Times New Roman" w:hAnsi="Times New Roman"/>
          <w:sz w:val="28"/>
          <w:szCs w:val="28"/>
        </w:rPr>
        <w:t>được hưởng bảo hiểm y tế do ngân sách nhà nước đảm bảo</w:t>
      </w:r>
      <w:r w:rsidRPr="00CA504F">
        <w:rPr>
          <w:rFonts w:ascii="Times New Roman" w:eastAsia="Times New Roman" w:hAnsi="Times New Roman"/>
          <w:sz w:val="28"/>
          <w:szCs w:val="28"/>
        </w:rPr>
        <w:t xml:space="preserve"> nhằm gia tăng quyền lợi, tạo sự hấp dẫn cho NLĐ cân nhắc không lựa chọn quyết định nhận BHXH 1 lần</w:t>
      </w:r>
      <w:r w:rsidR="000E3F4A" w:rsidRPr="00CA504F">
        <w:rPr>
          <w:rFonts w:ascii="Times New Roman" w:eastAsia="Times New Roman" w:hAnsi="Times New Roman"/>
          <w:sz w:val="28"/>
          <w:szCs w:val="28"/>
        </w:rPr>
        <w:t>.</w:t>
      </w:r>
    </w:p>
    <w:p w14:paraId="12530253" w14:textId="72E8EE9A" w:rsidR="000E3F4A" w:rsidRPr="00CA504F" w:rsidRDefault="000E3F4A">
      <w:pPr>
        <w:spacing w:after="120"/>
        <w:ind w:firstLine="720"/>
        <w:jc w:val="both"/>
        <w:rPr>
          <w:rFonts w:ascii="Times New Roman" w:eastAsia="Times New Roman" w:hAnsi="Times New Roman"/>
          <w:sz w:val="28"/>
          <w:szCs w:val="28"/>
        </w:rPr>
      </w:pPr>
      <w:r w:rsidRPr="00CA504F">
        <w:rPr>
          <w:rFonts w:ascii="Times New Roman" w:eastAsia="Times New Roman" w:hAnsi="Times New Roman"/>
          <w:sz w:val="28"/>
          <w:szCs w:val="28"/>
        </w:rPr>
        <w:t xml:space="preserve">Ví dụ người lao động nam 60 tuổi có 5 năm đóng BHXH bắt buộc với mức bình quân tiền lương thu nhập tháng làm căn cứ đóng BHXH là 6 triệu đồng/tháng. Vì có 5 năm đóng BHXH chưa đủ thời gian hưởng lương hưu, đồng thời chưa đủ tuổi hưởng trợ cấp hưu trí xã hội nên người cao tuổi này sẽ không có thu nhập hàng tháng, không có thẻ bảo hiểm y tế để khám chữa bệnh. </w:t>
      </w:r>
    </w:p>
    <w:p w14:paraId="158CF575" w14:textId="501052FA" w:rsidR="000E3F4A" w:rsidRPr="00CA504F" w:rsidRDefault="000E3F4A">
      <w:pPr>
        <w:spacing w:after="120"/>
        <w:ind w:firstLine="720"/>
        <w:jc w:val="both"/>
        <w:rPr>
          <w:rFonts w:ascii="Times New Roman" w:eastAsia="Times New Roman" w:hAnsi="Times New Roman"/>
          <w:sz w:val="28"/>
          <w:szCs w:val="28"/>
        </w:rPr>
      </w:pPr>
      <w:r w:rsidRPr="00CA504F">
        <w:rPr>
          <w:rFonts w:ascii="Times New Roman" w:eastAsia="Times New Roman" w:hAnsi="Times New Roman"/>
          <w:sz w:val="28"/>
          <w:szCs w:val="28"/>
        </w:rPr>
        <w:t xml:space="preserve">Nếu quy định liên kết, người cao tuổi được hưởng trợ cấp hưu trí xã hội </w:t>
      </w:r>
      <w:r w:rsidR="0063367A" w:rsidRPr="00CA504F">
        <w:rPr>
          <w:rFonts w:ascii="Times New Roman" w:eastAsia="Times New Roman" w:hAnsi="Times New Roman"/>
          <w:sz w:val="28"/>
          <w:szCs w:val="28"/>
        </w:rPr>
        <w:t xml:space="preserve">với </w:t>
      </w:r>
      <w:r w:rsidRPr="00CA504F">
        <w:rPr>
          <w:rFonts w:ascii="Times New Roman" w:eastAsia="Times New Roman" w:hAnsi="Times New Roman"/>
          <w:sz w:val="28"/>
          <w:szCs w:val="28"/>
        </w:rPr>
        <w:t>mức 500 nghìn đồng/tháng sớm 10 năm so với tuổi quy định (Nếu tuổi 80 thì họ được hưởng từ năm 70 tuổi, nếu tuổi hưởng trợ cấp hưu trí xã hội là 75 thì họ được hưởng từ năm 65 tuổi). Nguồn chi trả trợ cấp hàng tháng trước tuổi hưởng trợ cấp hưu trí xã hội được lấy từ quỹ BHXH (từ tiền đóng 5 năm của NLĐ), ngân sách nhà nước chỉ</w:t>
      </w:r>
      <w:r w:rsidR="00011D26" w:rsidRPr="00CA504F">
        <w:rPr>
          <w:rFonts w:ascii="Times New Roman" w:eastAsia="Times New Roman" w:hAnsi="Times New Roman"/>
          <w:sz w:val="28"/>
          <w:szCs w:val="28"/>
        </w:rPr>
        <w:t xml:space="preserve"> </w:t>
      </w:r>
      <w:r w:rsidRPr="00CA504F">
        <w:rPr>
          <w:rFonts w:ascii="Times New Roman" w:eastAsia="Times New Roman" w:hAnsi="Times New Roman"/>
          <w:sz w:val="28"/>
          <w:szCs w:val="28"/>
        </w:rPr>
        <w:t xml:space="preserve">bảo đảm mua bảo hiểm y tế trong thời gian NLĐ hưởng trợ cấp hàng tháng </w:t>
      </w:r>
      <w:r w:rsidRPr="00CA504F">
        <w:rPr>
          <w:rFonts w:ascii="Times New Roman" w:eastAsia="Times New Roman" w:hAnsi="Times New Roman"/>
          <w:sz w:val="28"/>
          <w:szCs w:val="28"/>
        </w:rPr>
        <w:lastRenderedPageBreak/>
        <w:t>nhằm gia tăng quyền lợi, tạo sự hấp dẫn cho NLĐ cân nhắc không lựa chọn quyết định nhận BHXH 1 lần.</w:t>
      </w:r>
    </w:p>
    <w:p w14:paraId="2EF476DA" w14:textId="67972209" w:rsidR="00750BAF" w:rsidRPr="00CA504F" w:rsidRDefault="00750BAF">
      <w:pPr>
        <w:spacing w:after="120"/>
        <w:ind w:firstLine="720"/>
        <w:jc w:val="both"/>
        <w:rPr>
          <w:rFonts w:ascii="Times New Roman" w:eastAsiaTheme="minorHAnsi" w:hAnsi="Times New Roman"/>
          <w:b/>
          <w:i/>
          <w:sz w:val="28"/>
          <w:szCs w:val="28"/>
        </w:rPr>
      </w:pPr>
      <w:r w:rsidRPr="00CA504F">
        <w:rPr>
          <w:rFonts w:ascii="Times New Roman" w:eastAsiaTheme="minorHAnsi" w:hAnsi="Times New Roman"/>
          <w:b/>
          <w:i/>
          <w:sz w:val="28"/>
          <w:szCs w:val="28"/>
        </w:rPr>
        <w:t>1.3. Hỗ trợ phát triển doanh nghiệp, phát triển thị trường lao động nhằm duy trì việc làm cho người lao động</w:t>
      </w:r>
    </w:p>
    <w:p w14:paraId="143BDC8E" w14:textId="090F49A7" w:rsidR="00750BAF" w:rsidRPr="00CA504F" w:rsidRDefault="00750BAF">
      <w:pPr>
        <w:spacing w:after="120"/>
        <w:ind w:firstLine="720"/>
        <w:jc w:val="both"/>
        <w:rPr>
          <w:rFonts w:ascii="Times New Roman" w:hAnsi="Times New Roman"/>
          <w:sz w:val="28"/>
          <w:szCs w:val="28"/>
        </w:rPr>
      </w:pPr>
      <w:r w:rsidRPr="00CA504F">
        <w:rPr>
          <w:rFonts w:ascii="Times New Roman" w:eastAsiaTheme="minorHAnsi" w:hAnsi="Times New Roman"/>
          <w:sz w:val="28"/>
          <w:szCs w:val="28"/>
        </w:rPr>
        <w:t xml:space="preserve">Qua Báo cáo tổng kết của Ban Kinh tế Trung ương về việc thực hiện Nghị quyết số 21-NQ/TW ngày 22/11/2012 của Bộ Chính trị về tăng cường sự lãnh đạo của Đảng đối với công tác bảo hiểm xã hội, bảo hiểm y tế giai đoạn 2012-2020 cho thấy tốc độ phát triển đối tượng tham gia BHXH phụ thuộc rất lớn vào việc phát triển doanh nghiệp, phát triển thị trường lao động. Cụ thể: </w:t>
      </w:r>
      <w:r w:rsidRPr="00CA504F">
        <w:rPr>
          <w:rFonts w:ascii="Times New Roman" w:hAnsi="Times New Roman"/>
          <w:sz w:val="28"/>
          <w:szCs w:val="28"/>
        </w:rPr>
        <w:t>Về tốc độ phát triển BHXH, các tỉnh phía Bắc nơi tập trung các khu công nghiệp mới trong những năm gần đây có tỷ lệ bao phủ BHXH so với lực lượng lao động tăng nhanh nhất</w:t>
      </w:r>
      <w:r w:rsidRPr="00CA504F">
        <w:rPr>
          <w:rFonts w:ascii="Times New Roman" w:hAnsi="Times New Roman"/>
          <w:sz w:val="28"/>
          <w:szCs w:val="28"/>
          <w:lang w:val="vi-VN"/>
        </w:rPr>
        <w:t xml:space="preserve">, cụ thể như: Bắc Ninh từ 28,6% (năm 2012) lên 67,4% (năm 2020), Bắc Giang từ 14,9% (năm 2012) lên 34,3% (năm 2020), Thái Nguyên từ 15% (năm 2012) lên 35,7% (năm 2020), Hà Nam từ 13,4% (năm 2012) lên 33,8% (năm 2020), Hải Dương từ 21% (năm 2012) lên 40,8% (năm 2020), Hải Phòng từ 26,8% (năm 2012) lên 43,8% (năm 2020),... </w:t>
      </w:r>
      <w:r w:rsidRPr="00CA504F">
        <w:rPr>
          <w:rFonts w:ascii="Times New Roman" w:hAnsi="Times New Roman"/>
          <w:sz w:val="28"/>
          <w:szCs w:val="28"/>
        </w:rPr>
        <w:t>(Chi tiết tại Phụ lục 1)</w:t>
      </w:r>
      <w:r w:rsidR="0063367A" w:rsidRPr="00CA504F">
        <w:rPr>
          <w:rFonts w:ascii="Times New Roman" w:hAnsi="Times New Roman"/>
          <w:sz w:val="28"/>
          <w:szCs w:val="28"/>
        </w:rPr>
        <w:t>.</w:t>
      </w:r>
    </w:p>
    <w:p w14:paraId="14A3B659" w14:textId="5C94CA8E" w:rsidR="00750BAF" w:rsidRPr="00CA504F" w:rsidRDefault="00750BAF">
      <w:pPr>
        <w:spacing w:after="120"/>
        <w:ind w:firstLine="720"/>
        <w:jc w:val="both"/>
        <w:rPr>
          <w:rFonts w:ascii="Times New Roman" w:eastAsiaTheme="minorHAnsi" w:hAnsi="Times New Roman"/>
          <w:sz w:val="28"/>
          <w:szCs w:val="28"/>
        </w:rPr>
      </w:pPr>
      <w:r w:rsidRPr="00CA504F">
        <w:rPr>
          <w:rFonts w:ascii="Times New Roman" w:hAnsi="Times New Roman"/>
          <w:sz w:val="28"/>
          <w:szCs w:val="28"/>
        </w:rPr>
        <w:t>Như vậy, khi doanh nghiệp phát triển, thị trường lao động phát triển không những sẽ giải quyết được vấn đề ngay trước mắt là duy trì việc làm cho người lao động, người lao động không bị mất việc, đời sống được đảm bảo nên không có nhu cầu nhận BHXH một lần mà còn đảm bảo quyền lợi hưu trí khi người lao động hết tuổi lao động.</w:t>
      </w:r>
    </w:p>
    <w:p w14:paraId="66AB1310" w14:textId="4871B1DB" w:rsidR="005E52E3" w:rsidRPr="00CA504F" w:rsidRDefault="007268A0">
      <w:pPr>
        <w:spacing w:after="120"/>
        <w:ind w:firstLine="720"/>
        <w:jc w:val="both"/>
        <w:rPr>
          <w:rFonts w:ascii="Times New Roman" w:eastAsia="Times New Roman" w:hAnsi="Times New Roman"/>
          <w:b/>
          <w:i/>
          <w:sz w:val="28"/>
          <w:szCs w:val="28"/>
        </w:rPr>
      </w:pPr>
      <w:r w:rsidRPr="00CA504F">
        <w:rPr>
          <w:rFonts w:ascii="Times New Roman" w:eastAsia="Times New Roman" w:hAnsi="Times New Roman"/>
          <w:b/>
          <w:i/>
          <w:sz w:val="28"/>
          <w:szCs w:val="28"/>
        </w:rPr>
        <w:t>1.</w:t>
      </w:r>
      <w:r w:rsidR="00750BAF" w:rsidRPr="00CA504F">
        <w:rPr>
          <w:rFonts w:ascii="Times New Roman" w:eastAsia="Times New Roman" w:hAnsi="Times New Roman"/>
          <w:b/>
          <w:i/>
          <w:sz w:val="28"/>
          <w:szCs w:val="28"/>
        </w:rPr>
        <w:t>4</w:t>
      </w:r>
      <w:r w:rsidR="005E52E3" w:rsidRPr="00CA504F">
        <w:rPr>
          <w:rFonts w:ascii="Times New Roman" w:eastAsia="Times New Roman" w:hAnsi="Times New Roman"/>
          <w:b/>
          <w:i/>
          <w:sz w:val="28"/>
          <w:szCs w:val="28"/>
        </w:rPr>
        <w:t>. Tăng cường sự liên kết, hỗ trợ giữa các chính sách bảo hiểm xã hội</w:t>
      </w:r>
    </w:p>
    <w:p w14:paraId="4C073556" w14:textId="77777777" w:rsidR="005E52E3" w:rsidRPr="00CA504F" w:rsidRDefault="005E52E3">
      <w:pPr>
        <w:spacing w:after="120"/>
        <w:ind w:firstLine="720"/>
        <w:jc w:val="both"/>
        <w:rPr>
          <w:rFonts w:ascii="Times New Roman" w:eastAsia="Times New Roman" w:hAnsi="Times New Roman"/>
          <w:sz w:val="28"/>
          <w:szCs w:val="28"/>
        </w:rPr>
      </w:pPr>
      <w:r w:rsidRPr="00CA504F">
        <w:rPr>
          <w:rFonts w:ascii="Times New Roman" w:eastAsia="Times New Roman" w:hAnsi="Times New Roman"/>
          <w:sz w:val="28"/>
          <w:szCs w:val="28"/>
        </w:rPr>
        <w:t>Sửa đổi Luật việc làm, chính sách BHTN, chính sách việc làm theo hướng hỗ trợ doanh nghiệp và người lao động duy trì việc làm, tránh sa thải lao động, bảo đảm quyền lợi chính đáng của doanh nghiệp và người lao động, nhanh chóng đưa người thất nghiệp trở lại làm việc, khắc phục tình trạng trục lợi BHTN.</w:t>
      </w:r>
      <w:r w:rsidRPr="00CA504F">
        <w:rPr>
          <w:rFonts w:ascii="Times New Roman" w:eastAsia="Times New Roman" w:hAnsi="Times New Roman"/>
          <w:sz w:val="28"/>
          <w:szCs w:val="28"/>
        </w:rPr>
        <w:tab/>
      </w:r>
    </w:p>
    <w:p w14:paraId="4B960CFE" w14:textId="77777777" w:rsidR="005E52E3" w:rsidRPr="00CA504F" w:rsidRDefault="005E52E3">
      <w:pPr>
        <w:spacing w:after="120"/>
        <w:ind w:firstLine="720"/>
        <w:jc w:val="both"/>
        <w:rPr>
          <w:rFonts w:ascii="Times New Roman" w:eastAsia="Times New Roman" w:hAnsi="Times New Roman"/>
          <w:spacing w:val="-2"/>
          <w:sz w:val="28"/>
          <w:szCs w:val="28"/>
          <w:shd w:val="clear" w:color="auto" w:fill="FFFFFF"/>
        </w:rPr>
      </w:pPr>
      <w:r w:rsidRPr="00CA504F">
        <w:rPr>
          <w:rFonts w:ascii="Times New Roman" w:eastAsia="Times New Roman" w:hAnsi="Times New Roman"/>
          <w:spacing w:val="-2"/>
          <w:sz w:val="28"/>
          <w:szCs w:val="28"/>
          <w:shd w:val="clear" w:color="auto" w:fill="FFFFFF"/>
        </w:rPr>
        <w:t>Kinh nghiệm của các nước cho thấy, có những ngành nghề có nguy cơ sa thải lao động cao, người lao động khó có cơ hội quay trở lại làm việc vì tính chất là lao động thủ công, kỹ năng nghề thấp, đòi hỏi sức khỏe và tuổi không quá cao. Sau một độ tuổi nhất định (thí dụ 35 - 40 tuổi), nguy cơ sa thải hàng loạt dễ xảy ra vì năng suất lao động thấp, tiền lương theo thâm niên cao. Quỹ BHTN các nước sẽ hỗ trợ có chọn lọc một số nhóm ngành nghề, một số nhóm đối tượng lao động dưới hình thức hỗ trợ một phần tiền lương hoặc hỗ trợ đóng BHXH để giảm áp lực chi phí tài chính cho doanh nghiệp, khuyến khích doanh nghiệp tiếp tục sử dụng lao động, tránh sa thải</w:t>
      </w:r>
      <w:r w:rsidRPr="00CA504F">
        <w:rPr>
          <w:rFonts w:ascii="Times New Roman" w:hAnsi="Times New Roman"/>
          <w:spacing w:val="-2"/>
          <w:sz w:val="28"/>
          <w:szCs w:val="28"/>
          <w:shd w:val="clear" w:color="auto" w:fill="FFFFFF"/>
          <w:vertAlign w:val="superscript"/>
        </w:rPr>
        <w:footnoteReference w:id="6"/>
      </w:r>
      <w:r w:rsidRPr="00CA504F">
        <w:rPr>
          <w:rFonts w:ascii="Times New Roman" w:eastAsia="Times New Roman" w:hAnsi="Times New Roman"/>
          <w:spacing w:val="-2"/>
          <w:sz w:val="28"/>
          <w:szCs w:val="28"/>
          <w:shd w:val="clear" w:color="auto" w:fill="FFFFFF"/>
        </w:rPr>
        <w:t xml:space="preserve">. </w:t>
      </w:r>
      <w:r w:rsidRPr="00CA504F">
        <w:rPr>
          <w:rFonts w:ascii="Times New Roman" w:eastAsia="Times New Roman" w:hAnsi="Times New Roman"/>
          <w:spacing w:val="-2"/>
          <w:sz w:val="28"/>
          <w:szCs w:val="28"/>
          <w:shd w:val="clear" w:color="auto" w:fill="FFFFFF"/>
        </w:rPr>
        <w:lastRenderedPageBreak/>
        <w:t>Nhờ đó, người lao động tiếp tục tham gia được vào hệ thống BHXH, giúp duy trì và tăng diện bao phủ của BHXH, đồng thời tiếp tục làm việc, đóng góp vào tăng trưởng</w:t>
      </w:r>
      <w:r w:rsidRPr="00CA504F">
        <w:rPr>
          <w:rFonts w:ascii="Times New Roman" w:eastAsia="Times New Roman" w:hAnsi="Times New Roman"/>
          <w:spacing w:val="-2"/>
          <w:sz w:val="28"/>
          <w:szCs w:val="28"/>
          <w:shd w:val="clear" w:color="auto" w:fill="FFFFFF"/>
          <w:vertAlign w:val="superscript"/>
        </w:rPr>
        <w:footnoteReference w:id="7"/>
      </w:r>
      <w:r w:rsidRPr="00CA504F">
        <w:rPr>
          <w:rFonts w:ascii="Times New Roman" w:eastAsia="Times New Roman" w:hAnsi="Times New Roman"/>
          <w:spacing w:val="-2"/>
          <w:sz w:val="28"/>
          <w:szCs w:val="28"/>
          <w:shd w:val="clear" w:color="auto" w:fill="FFFFFF"/>
        </w:rPr>
        <w:t>.</w:t>
      </w:r>
    </w:p>
    <w:p w14:paraId="5BB2FA50" w14:textId="4CC0EBF6" w:rsidR="00FB357D" w:rsidRPr="00CA504F" w:rsidRDefault="007268A0">
      <w:pPr>
        <w:spacing w:after="120"/>
        <w:ind w:firstLine="720"/>
        <w:jc w:val="both"/>
        <w:rPr>
          <w:rFonts w:ascii="Times New Roman" w:hAnsi="Times New Roman"/>
          <w:b/>
          <w:i/>
          <w:sz w:val="28"/>
          <w:szCs w:val="28"/>
        </w:rPr>
      </w:pPr>
      <w:r w:rsidRPr="00CA504F">
        <w:rPr>
          <w:rFonts w:ascii="Times New Roman" w:eastAsia="Times New Roman" w:hAnsi="Times New Roman"/>
          <w:sz w:val="28"/>
          <w:szCs w:val="28"/>
          <w:shd w:val="clear" w:color="auto" w:fill="FFFFFF"/>
        </w:rPr>
        <w:t xml:space="preserve">Khi người người lao động </w:t>
      </w:r>
      <w:r w:rsidR="005E52E3" w:rsidRPr="00CA504F">
        <w:rPr>
          <w:rFonts w:ascii="Times New Roman" w:eastAsia="Times New Roman" w:hAnsi="Times New Roman"/>
          <w:sz w:val="28"/>
          <w:szCs w:val="28"/>
          <w:shd w:val="clear" w:color="auto" w:fill="FFFFFF"/>
        </w:rPr>
        <w:t xml:space="preserve">được </w:t>
      </w:r>
      <w:r w:rsidRPr="00CA504F">
        <w:rPr>
          <w:rFonts w:ascii="Times New Roman" w:eastAsia="Times New Roman" w:hAnsi="Times New Roman"/>
          <w:sz w:val="28"/>
          <w:szCs w:val="28"/>
          <w:shd w:val="clear" w:color="auto" w:fill="FFFFFF"/>
        </w:rPr>
        <w:t xml:space="preserve">duy trì việc làm, </w:t>
      </w:r>
      <w:r w:rsidR="005E52E3" w:rsidRPr="00CA504F">
        <w:rPr>
          <w:rFonts w:ascii="Times New Roman" w:eastAsia="Times New Roman" w:hAnsi="Times New Roman"/>
          <w:sz w:val="28"/>
          <w:szCs w:val="28"/>
          <w:shd w:val="clear" w:color="auto" w:fill="FFFFFF"/>
        </w:rPr>
        <w:t xml:space="preserve">đảm bảo quyền lợi về tiền lương, BHXH thì </w:t>
      </w:r>
      <w:r w:rsidR="00B645B9" w:rsidRPr="00CA504F">
        <w:rPr>
          <w:rFonts w:ascii="Times New Roman" w:eastAsia="Times New Roman" w:hAnsi="Times New Roman"/>
          <w:sz w:val="28"/>
          <w:szCs w:val="28"/>
          <w:shd w:val="clear" w:color="auto" w:fill="FFFFFF"/>
        </w:rPr>
        <w:t>chắc chắn không phát sinh việc hưởng</w:t>
      </w:r>
      <w:r w:rsidR="005E52E3" w:rsidRPr="00CA504F">
        <w:rPr>
          <w:rFonts w:ascii="Times New Roman" w:eastAsia="Times New Roman" w:hAnsi="Times New Roman"/>
          <w:sz w:val="28"/>
          <w:szCs w:val="28"/>
          <w:shd w:val="clear" w:color="auto" w:fill="FFFFFF"/>
        </w:rPr>
        <w:t xml:space="preserve"> </w:t>
      </w:r>
      <w:r w:rsidR="00B645B9" w:rsidRPr="00CA504F">
        <w:rPr>
          <w:rFonts w:ascii="Times New Roman" w:eastAsia="Times New Roman" w:hAnsi="Times New Roman"/>
          <w:sz w:val="28"/>
          <w:szCs w:val="28"/>
          <w:shd w:val="clear" w:color="auto" w:fill="FFFFFF"/>
        </w:rPr>
        <w:t>BHXH</w:t>
      </w:r>
      <w:r w:rsidR="005E52E3" w:rsidRPr="00CA504F">
        <w:rPr>
          <w:rFonts w:ascii="Times New Roman" w:eastAsia="Times New Roman" w:hAnsi="Times New Roman"/>
          <w:sz w:val="28"/>
          <w:szCs w:val="28"/>
          <w:shd w:val="clear" w:color="auto" w:fill="FFFFFF"/>
        </w:rPr>
        <w:t xml:space="preserve"> một lần.</w:t>
      </w:r>
    </w:p>
    <w:p w14:paraId="131D5E4B" w14:textId="612C391C" w:rsidR="00400092" w:rsidRPr="00CA504F" w:rsidRDefault="00B645B9">
      <w:pPr>
        <w:spacing w:after="120"/>
        <w:ind w:firstLine="720"/>
        <w:jc w:val="both"/>
        <w:rPr>
          <w:rFonts w:ascii="Times New Roman" w:hAnsi="Times New Roman"/>
          <w:b/>
          <w:i/>
          <w:sz w:val="28"/>
          <w:szCs w:val="28"/>
        </w:rPr>
      </w:pPr>
      <w:r w:rsidRPr="00CA504F">
        <w:rPr>
          <w:rFonts w:ascii="Times New Roman" w:hAnsi="Times New Roman"/>
          <w:b/>
          <w:i/>
          <w:sz w:val="28"/>
          <w:szCs w:val="28"/>
        </w:rPr>
        <w:t>1.</w:t>
      </w:r>
      <w:r w:rsidR="00750BAF" w:rsidRPr="00CA504F">
        <w:rPr>
          <w:rFonts w:ascii="Times New Roman" w:hAnsi="Times New Roman"/>
          <w:b/>
          <w:i/>
          <w:sz w:val="28"/>
          <w:szCs w:val="28"/>
        </w:rPr>
        <w:t>5</w:t>
      </w:r>
      <w:r w:rsidR="00D93AFA" w:rsidRPr="00CA504F">
        <w:rPr>
          <w:rFonts w:ascii="Times New Roman" w:hAnsi="Times New Roman"/>
          <w:b/>
          <w:i/>
          <w:sz w:val="28"/>
          <w:szCs w:val="28"/>
        </w:rPr>
        <w:t xml:space="preserve">. </w:t>
      </w:r>
      <w:r w:rsidR="00400092" w:rsidRPr="00CA504F">
        <w:rPr>
          <w:rFonts w:ascii="Times New Roman" w:hAnsi="Times New Roman"/>
          <w:b/>
          <w:i/>
          <w:sz w:val="28"/>
          <w:szCs w:val="28"/>
        </w:rPr>
        <w:t>Về công tác tuyên truyền và phổ biến pháp luật</w:t>
      </w:r>
    </w:p>
    <w:p w14:paraId="68B7287A" w14:textId="5C958408" w:rsidR="00400092" w:rsidRPr="00CA504F" w:rsidRDefault="00400092">
      <w:pPr>
        <w:spacing w:after="120"/>
        <w:ind w:firstLine="720"/>
        <w:jc w:val="both"/>
        <w:rPr>
          <w:rFonts w:ascii="Times New Roman" w:hAnsi="Times New Roman"/>
          <w:sz w:val="28"/>
          <w:szCs w:val="28"/>
        </w:rPr>
      </w:pPr>
      <w:r w:rsidRPr="00CA504F">
        <w:rPr>
          <w:rFonts w:ascii="Times New Roman" w:hAnsi="Times New Roman"/>
          <w:sz w:val="28"/>
          <w:szCs w:val="28"/>
        </w:rPr>
        <w:t xml:space="preserve">Bản thân mỗi điều khoản của pháp luật hoặc một chính sách không thể thành công nếu không có sự đồng thuận của nhóm đối tượng chịu sự điều chỉnh. Vì vậy, công tác tuyên truyền và phổ biến pháp luật cần được đặt vào vị trí trung tâm của quá trình xây dựng và hoàn thiện chính sách, pháp luật. Người dân cần được biết và được tham vấn một cách hiệu quả (thông qua các tổ chức chính trị - xã hội, tổ chức xã hội, xã hội - nghề nghiệp) về ý nghĩa và mục đích của những điều chỉnh và thay đổi chính sách, pháp luật sẽ được thông qua. Điều này sẽ giúp tạo được sự đồng thuận trong xã hội ngay từ khi chính sách, pháp luật được thiết kế và được ban hành, cũng như giúp người lao động có kế hoạch chuẩn bị tốt cho các giai đoạn sau khi chính sách và pháp luật được điều chỉnh, thay đổi. </w:t>
      </w:r>
    </w:p>
    <w:p w14:paraId="5598CA3A" w14:textId="4795D469" w:rsidR="00400092" w:rsidRPr="00CA504F" w:rsidRDefault="00B645B9">
      <w:pPr>
        <w:spacing w:after="120"/>
        <w:ind w:firstLine="720"/>
        <w:jc w:val="both"/>
        <w:rPr>
          <w:rFonts w:ascii="Times New Roman" w:hAnsi="Times New Roman"/>
          <w:sz w:val="28"/>
          <w:szCs w:val="28"/>
        </w:rPr>
      </w:pPr>
      <w:r w:rsidRPr="00CA504F">
        <w:rPr>
          <w:rFonts w:ascii="Times New Roman" w:hAnsi="Times New Roman"/>
          <w:sz w:val="28"/>
          <w:szCs w:val="28"/>
        </w:rPr>
        <w:t xml:space="preserve">Công tác tuyên truyền và phổ biến không chỉ cần thực hiện trong quá trình xây dựng chính sách mà cần được thực hiện thường xuyên trước và trong quá trình thực hiện chính sách </w:t>
      </w:r>
      <w:r w:rsidR="007C6B22" w:rsidRPr="00CA504F">
        <w:rPr>
          <w:rFonts w:ascii="Times New Roman" w:hAnsi="Times New Roman"/>
          <w:sz w:val="28"/>
          <w:szCs w:val="28"/>
        </w:rPr>
        <w:t xml:space="preserve">BHXH. Người lao động cần phải nắm được đầy đủ thông tin, phải được </w:t>
      </w:r>
      <w:r w:rsidR="00400092" w:rsidRPr="00CA504F">
        <w:rPr>
          <w:rFonts w:ascii="Times New Roman" w:hAnsi="Times New Roman"/>
          <w:sz w:val="28"/>
          <w:szCs w:val="28"/>
        </w:rPr>
        <w:t>giải thích cặn kẽ rõ ràng về lợi ích của việc tiếp tục tham gia để hưởng hưu trí thay vì nhận BHXH một lần.</w:t>
      </w:r>
    </w:p>
    <w:p w14:paraId="0B5CDC8E" w14:textId="1DFCD227" w:rsidR="00400092" w:rsidRPr="00CA504F" w:rsidRDefault="00400092">
      <w:pPr>
        <w:spacing w:after="120"/>
        <w:ind w:firstLine="720"/>
        <w:jc w:val="both"/>
        <w:rPr>
          <w:rFonts w:ascii="Times New Roman" w:hAnsi="Times New Roman"/>
          <w:sz w:val="28"/>
          <w:szCs w:val="28"/>
        </w:rPr>
      </w:pPr>
      <w:r w:rsidRPr="00CA504F">
        <w:rPr>
          <w:rFonts w:ascii="Times New Roman" w:hAnsi="Times New Roman"/>
          <w:sz w:val="28"/>
          <w:szCs w:val="28"/>
        </w:rPr>
        <w:t xml:space="preserve">Một chiến lược truyền thông tổng thể về mở rộng đối tượng của hệ thống BHXH, trong đó có việc hạn chế tình trạng hưởng BHXH một lần cần được </w:t>
      </w:r>
      <w:r w:rsidR="007C6B22" w:rsidRPr="00CA504F">
        <w:rPr>
          <w:rFonts w:ascii="Times New Roman" w:hAnsi="Times New Roman"/>
          <w:sz w:val="28"/>
          <w:szCs w:val="28"/>
        </w:rPr>
        <w:t xml:space="preserve">các cơ quan </w:t>
      </w:r>
      <w:r w:rsidRPr="00CA504F">
        <w:rPr>
          <w:rFonts w:ascii="Times New Roman" w:hAnsi="Times New Roman"/>
          <w:sz w:val="28"/>
          <w:szCs w:val="28"/>
        </w:rPr>
        <w:t>phối hợp thực hiện nhằm nâng cao nhận thức về ý nghĩa và tầm quan trọng của việc đóng góp tích lũy cho chế độ hưu trí khi về già, từ đó tạo sự đồng thuận của người dân nói chung và người tham gia BHXH nói riêng.</w:t>
      </w:r>
    </w:p>
    <w:p w14:paraId="552A0A29" w14:textId="71447CB7" w:rsidR="00400092" w:rsidRPr="00CA504F" w:rsidRDefault="002E56D2">
      <w:pPr>
        <w:spacing w:after="120"/>
        <w:ind w:firstLine="720"/>
        <w:jc w:val="both"/>
        <w:rPr>
          <w:rFonts w:ascii="Times New Roman" w:hAnsi="Times New Roman"/>
          <w:b/>
          <w:i/>
          <w:sz w:val="28"/>
          <w:szCs w:val="28"/>
        </w:rPr>
      </w:pPr>
      <w:r w:rsidRPr="00CA504F">
        <w:rPr>
          <w:rFonts w:ascii="Times New Roman" w:hAnsi="Times New Roman"/>
          <w:b/>
          <w:i/>
          <w:sz w:val="28"/>
          <w:szCs w:val="28"/>
        </w:rPr>
        <w:t>1</w:t>
      </w:r>
      <w:r w:rsidR="00400092" w:rsidRPr="00CA504F">
        <w:rPr>
          <w:rFonts w:ascii="Times New Roman" w:hAnsi="Times New Roman"/>
          <w:b/>
          <w:i/>
          <w:sz w:val="28"/>
          <w:szCs w:val="28"/>
        </w:rPr>
        <w:t>.</w:t>
      </w:r>
      <w:r w:rsidR="00750BAF" w:rsidRPr="00CA504F">
        <w:rPr>
          <w:rFonts w:ascii="Times New Roman" w:hAnsi="Times New Roman"/>
          <w:b/>
          <w:i/>
          <w:sz w:val="28"/>
          <w:szCs w:val="28"/>
        </w:rPr>
        <w:t>6</w:t>
      </w:r>
      <w:r w:rsidR="00400092" w:rsidRPr="00CA504F">
        <w:rPr>
          <w:rFonts w:ascii="Times New Roman" w:hAnsi="Times New Roman"/>
          <w:b/>
          <w:i/>
          <w:sz w:val="28"/>
          <w:szCs w:val="28"/>
        </w:rPr>
        <w:t>. Tăng cường công tác tổ chức thực hiện chính sách BHXH</w:t>
      </w:r>
      <w:r w:rsidRPr="00CA504F">
        <w:rPr>
          <w:rFonts w:ascii="Times New Roman" w:hAnsi="Times New Roman"/>
          <w:b/>
          <w:i/>
          <w:sz w:val="28"/>
          <w:szCs w:val="28"/>
        </w:rPr>
        <w:t xml:space="preserve"> củng cố niềm tin của người dân vào hệ thống BHXH</w:t>
      </w:r>
    </w:p>
    <w:p w14:paraId="708B3DF4" w14:textId="465C8D2F" w:rsidR="00A2326D" w:rsidRPr="00CA504F" w:rsidRDefault="00A2326D">
      <w:pPr>
        <w:spacing w:after="120"/>
        <w:ind w:firstLine="720"/>
        <w:jc w:val="both"/>
        <w:rPr>
          <w:rFonts w:ascii="Times New Roman" w:eastAsia="Times New Roman" w:hAnsi="Times New Roman"/>
          <w:sz w:val="28"/>
          <w:szCs w:val="28"/>
        </w:rPr>
      </w:pPr>
      <w:r w:rsidRPr="00CA504F">
        <w:rPr>
          <w:rFonts w:ascii="Times New Roman" w:eastAsia="Times New Roman" w:hAnsi="Times New Roman"/>
          <w:sz w:val="28"/>
          <w:szCs w:val="28"/>
        </w:rPr>
        <w:t xml:space="preserve">Đẩy mạnh cải cách tinh gọn bộ máy tổ chức thực hiện, nâng cao tính hiệu lực, hiệu quả trong thực thi chính sách; đẩy mạnh ứng dụng công nghệ thông tin, tiết giảm chi phí, cắt giảm thủ tục hành chính tạo điều kiện thuận lợi cho người dân và </w:t>
      </w:r>
      <w:r w:rsidRPr="00CA504F">
        <w:rPr>
          <w:rFonts w:ascii="Times New Roman" w:eastAsia="Times New Roman" w:hAnsi="Times New Roman"/>
          <w:sz w:val="28"/>
          <w:szCs w:val="28"/>
        </w:rPr>
        <w:lastRenderedPageBreak/>
        <w:t>doanh nghiệp dễ dàng tiếp cận hệ thống BHXH; cùng với đó là thực hiện chế độ thông tin đầy đủ, công khai, minh bạch…. qua đó từng bước củng cố niềm tin của người dân vào hệ thống BHXH.</w:t>
      </w:r>
    </w:p>
    <w:p w14:paraId="678769EF" w14:textId="6CBE980E" w:rsidR="00414F03" w:rsidRPr="00CA504F" w:rsidRDefault="00414F03">
      <w:pPr>
        <w:spacing w:after="120"/>
        <w:ind w:firstLine="720"/>
        <w:jc w:val="both"/>
        <w:rPr>
          <w:rFonts w:ascii="Times New Roman" w:eastAsia="Times New Roman" w:hAnsi="Times New Roman"/>
          <w:b/>
          <w:sz w:val="28"/>
          <w:szCs w:val="28"/>
          <w:shd w:val="clear" w:color="auto" w:fill="FFFFFF"/>
        </w:rPr>
      </w:pPr>
      <w:r w:rsidRPr="00CA504F">
        <w:rPr>
          <w:rFonts w:ascii="Times New Roman" w:eastAsia="Times New Roman" w:hAnsi="Times New Roman"/>
          <w:b/>
          <w:sz w:val="28"/>
          <w:szCs w:val="28"/>
          <w:shd w:val="clear" w:color="auto" w:fill="FFFFFF"/>
        </w:rPr>
        <w:t>2.</w:t>
      </w:r>
      <w:r w:rsidR="002E56D2" w:rsidRPr="00CA504F">
        <w:rPr>
          <w:b/>
        </w:rPr>
        <w:t xml:space="preserve"> </w:t>
      </w:r>
      <w:r w:rsidR="002E56D2" w:rsidRPr="00CA504F">
        <w:rPr>
          <w:rFonts w:ascii="Times New Roman" w:eastAsia="Times New Roman" w:hAnsi="Times New Roman"/>
          <w:b/>
          <w:sz w:val="28"/>
          <w:szCs w:val="28"/>
          <w:shd w:val="clear" w:color="auto" w:fill="FFFFFF"/>
        </w:rPr>
        <w:t>Giải pháp trực tiếp, s</w:t>
      </w:r>
      <w:r w:rsidRPr="00CA504F">
        <w:rPr>
          <w:rFonts w:ascii="Times New Roman" w:eastAsia="Times New Roman" w:hAnsi="Times New Roman"/>
          <w:b/>
          <w:sz w:val="28"/>
          <w:szCs w:val="28"/>
          <w:shd w:val="clear" w:color="auto" w:fill="FFFFFF"/>
        </w:rPr>
        <w:t xml:space="preserve">ửa đổi </w:t>
      </w:r>
      <w:r w:rsidR="002E56D2" w:rsidRPr="00CA504F">
        <w:rPr>
          <w:rFonts w:ascii="Times New Roman" w:eastAsia="Times New Roman" w:hAnsi="Times New Roman"/>
          <w:b/>
          <w:sz w:val="28"/>
          <w:szCs w:val="28"/>
          <w:shd w:val="clear" w:color="auto" w:fill="FFFFFF"/>
        </w:rPr>
        <w:t xml:space="preserve">quy định về </w:t>
      </w:r>
      <w:r w:rsidRPr="00CA504F">
        <w:rPr>
          <w:rFonts w:ascii="Times New Roman" w:eastAsia="Times New Roman" w:hAnsi="Times New Roman"/>
          <w:b/>
          <w:sz w:val="28"/>
          <w:szCs w:val="28"/>
          <w:shd w:val="clear" w:color="auto" w:fill="FFFFFF"/>
        </w:rPr>
        <w:t>hưởng BHXH một lần</w:t>
      </w:r>
    </w:p>
    <w:p w14:paraId="50F7E10C" w14:textId="39DF275F" w:rsidR="00414F03" w:rsidRPr="00CA504F" w:rsidRDefault="00414F03" w:rsidP="00BC202A">
      <w:pPr>
        <w:spacing w:after="120"/>
        <w:ind w:firstLine="709"/>
        <w:jc w:val="both"/>
        <w:rPr>
          <w:rFonts w:ascii="Times New Roman" w:eastAsiaTheme="minorHAnsi" w:hAnsi="Times New Roman" w:cstheme="minorBidi"/>
          <w:b/>
          <w:sz w:val="28"/>
          <w:lang w:val="pt-BR"/>
        </w:rPr>
      </w:pPr>
      <w:r w:rsidRPr="00CA504F">
        <w:rPr>
          <w:rFonts w:ascii="Times New Roman" w:hAnsi="Times New Roman" w:cs="Times New Roman Bold"/>
          <w:bCs/>
          <w:sz w:val="29"/>
          <w:szCs w:val="30"/>
          <w:lang w:val="vi-VN"/>
        </w:rPr>
        <w:t>Theo quy định của Luật BHXH 2014 và Nghị quyết số 93/2015/QH13 của Quốc hội thì điều kiện hưởng BHXH một lần khá dễ dàng (sau một năm không làm việc, không tham gia BHXH là người lao động có thể hưởng BHXH một lần</w:t>
      </w:r>
      <w:r w:rsidRPr="00CA504F">
        <w:rPr>
          <w:rFonts w:ascii="Times New Roman" w:hAnsi="Times New Roman" w:cs="Times New Roman Bold"/>
          <w:bCs/>
          <w:sz w:val="29"/>
          <w:szCs w:val="30"/>
        </w:rPr>
        <w:t>; quy định này được cho là khá dễ dàng. Tại Nghị quyết số 28-NQ/TW đã đề ra nội dung cải cách: “</w:t>
      </w:r>
      <w:r w:rsidRPr="00CA504F">
        <w:rPr>
          <w:rFonts w:ascii="Times New Roman" w:hAnsi="Times New Roman" w:cs="Times New Roman Bold"/>
          <w:bCs/>
          <w:sz w:val="29"/>
          <w:szCs w:val="30"/>
          <w:lang w:val="vi-VN"/>
        </w:rPr>
        <w:t xml:space="preserve">Sửa đổi, khắc phục các bất hợp lý về chế độ bảo hiểm hưu trí hiện nay theo hướng linh hoạt hơn về điều kiện hưởng chế độ hưu trí, chặt chẽ hơn trong quy định hưởng chế độ </w:t>
      </w:r>
      <w:r w:rsidR="002E56D2" w:rsidRPr="00CA504F">
        <w:rPr>
          <w:rFonts w:ascii="Times New Roman" w:hAnsi="Times New Roman" w:cs="Times New Roman Bold"/>
          <w:bCs/>
          <w:sz w:val="29"/>
          <w:szCs w:val="30"/>
        </w:rPr>
        <w:t>BHXH</w:t>
      </w:r>
      <w:r w:rsidRPr="00CA504F">
        <w:rPr>
          <w:rFonts w:ascii="Times New Roman" w:hAnsi="Times New Roman" w:cs="Times New Roman Bold"/>
          <w:bCs/>
          <w:sz w:val="29"/>
          <w:szCs w:val="30"/>
          <w:lang w:val="vi-VN"/>
        </w:rPr>
        <w:t xml:space="preserve"> một lần, tăng tuổi nghỉ hưu bình quân thực tế của người lao động</w:t>
      </w:r>
      <w:r w:rsidRPr="00CA504F">
        <w:rPr>
          <w:rFonts w:ascii="Times New Roman" w:hAnsi="Times New Roman" w:cs="Times New Roman Bold"/>
          <w:bCs/>
          <w:sz w:val="29"/>
          <w:szCs w:val="30"/>
        </w:rPr>
        <w:t>”, trong đó nhấn mạnh: “</w:t>
      </w:r>
      <w:r w:rsidRPr="00CA504F">
        <w:rPr>
          <w:rFonts w:ascii="Times New Roman" w:hAnsi="Times New Roman"/>
          <w:sz w:val="29"/>
          <w:szCs w:val="30"/>
          <w:lang w:val="vi-VN"/>
        </w:rPr>
        <w:t xml:space="preserve">Có quy định phù hợp để giảm tình trạng hưởng </w:t>
      </w:r>
      <w:r w:rsidR="002E56D2" w:rsidRPr="00CA504F">
        <w:rPr>
          <w:rFonts w:ascii="Times New Roman" w:hAnsi="Times New Roman"/>
          <w:sz w:val="29"/>
          <w:szCs w:val="30"/>
        </w:rPr>
        <w:t>BHXH</w:t>
      </w:r>
      <w:r w:rsidRPr="00CA504F">
        <w:rPr>
          <w:rFonts w:ascii="Times New Roman" w:hAnsi="Times New Roman"/>
          <w:sz w:val="29"/>
          <w:szCs w:val="30"/>
          <w:lang w:val="vi-VN"/>
        </w:rPr>
        <w:t xml:space="preserve"> một lần theo hướng tăng quyền lợi nếu bảo lưu thời gian tham gia </w:t>
      </w:r>
      <w:r w:rsidR="002E56D2" w:rsidRPr="00CA504F">
        <w:rPr>
          <w:rFonts w:ascii="Times New Roman" w:hAnsi="Times New Roman"/>
          <w:sz w:val="29"/>
          <w:szCs w:val="30"/>
        </w:rPr>
        <w:t>BHXH</w:t>
      </w:r>
      <w:r w:rsidRPr="00CA504F">
        <w:rPr>
          <w:rFonts w:ascii="Times New Roman" w:hAnsi="Times New Roman"/>
          <w:sz w:val="29"/>
          <w:szCs w:val="30"/>
          <w:lang w:val="vi-VN"/>
        </w:rPr>
        <w:t xml:space="preserve"> để hưởng chế độ hưu trí, giảm quyền lợi nếu hưởng </w:t>
      </w:r>
      <w:r w:rsidR="002E56D2" w:rsidRPr="00CA504F">
        <w:rPr>
          <w:rFonts w:ascii="Times New Roman" w:hAnsi="Times New Roman"/>
          <w:sz w:val="29"/>
          <w:szCs w:val="30"/>
        </w:rPr>
        <w:t>BHXH</w:t>
      </w:r>
      <w:r w:rsidRPr="00CA504F">
        <w:rPr>
          <w:rFonts w:ascii="Times New Roman" w:hAnsi="Times New Roman"/>
          <w:sz w:val="29"/>
          <w:szCs w:val="30"/>
          <w:lang w:val="vi-VN"/>
        </w:rPr>
        <w:t xml:space="preserve"> một lần</w:t>
      </w:r>
      <w:r w:rsidRPr="00CA504F">
        <w:rPr>
          <w:rFonts w:ascii="Times New Roman" w:hAnsi="Times New Roman"/>
          <w:sz w:val="29"/>
          <w:szCs w:val="30"/>
        </w:rPr>
        <w:t>”</w:t>
      </w:r>
      <w:r w:rsidRPr="00CA504F">
        <w:rPr>
          <w:rFonts w:ascii="Times New Roman" w:hAnsi="Times New Roman"/>
          <w:sz w:val="29"/>
          <w:szCs w:val="30"/>
          <w:lang w:val="vi-VN"/>
        </w:rPr>
        <w:t>.</w:t>
      </w:r>
      <w:r w:rsidRPr="00CA504F">
        <w:rPr>
          <w:rFonts w:ascii="Times New Roman" w:hAnsi="Times New Roman"/>
          <w:sz w:val="29"/>
          <w:szCs w:val="30"/>
        </w:rPr>
        <w:t xml:space="preserve"> Tuy nhiên, </w:t>
      </w:r>
      <w:r w:rsidR="002E56D2" w:rsidRPr="00CA504F">
        <w:rPr>
          <w:rFonts w:ascii="Times New Roman" w:hAnsi="Times New Roman"/>
          <w:sz w:val="29"/>
          <w:szCs w:val="30"/>
        </w:rPr>
        <w:t>BHXH</w:t>
      </w:r>
      <w:r w:rsidRPr="00CA504F">
        <w:rPr>
          <w:rFonts w:ascii="Times New Roman" w:hAnsi="Times New Roman"/>
          <w:sz w:val="29"/>
          <w:szCs w:val="30"/>
        </w:rPr>
        <w:t xml:space="preserve"> một lần là vấn đề khá </w:t>
      </w:r>
      <w:r w:rsidR="002E56D2" w:rsidRPr="00CA504F">
        <w:rPr>
          <w:rFonts w:ascii="Times New Roman" w:hAnsi="Times New Roman"/>
          <w:sz w:val="29"/>
          <w:szCs w:val="30"/>
        </w:rPr>
        <w:t>“</w:t>
      </w:r>
      <w:r w:rsidRPr="00CA504F">
        <w:rPr>
          <w:rFonts w:ascii="Times New Roman" w:hAnsi="Times New Roman"/>
          <w:sz w:val="29"/>
          <w:szCs w:val="30"/>
        </w:rPr>
        <w:t>nhạy cảm,</w:t>
      </w:r>
      <w:r w:rsidR="002E56D2" w:rsidRPr="00CA504F">
        <w:rPr>
          <w:rFonts w:ascii="Times New Roman" w:hAnsi="Times New Roman"/>
          <w:sz w:val="29"/>
          <w:szCs w:val="30"/>
        </w:rPr>
        <w:t xml:space="preserve"> phức tạp”</w:t>
      </w:r>
      <w:r w:rsidRPr="00CA504F">
        <w:rPr>
          <w:rFonts w:ascii="Times New Roman" w:hAnsi="Times New Roman"/>
          <w:sz w:val="29"/>
          <w:szCs w:val="30"/>
        </w:rPr>
        <w:t xml:space="preserve"> đã có tiền lệ trong quá khứ gặp phải phản ứng của một bộ phận người lao động khi có đề xuất thay đổi. Chính vì vậy, liên quan đến vấn đề này có một số </w:t>
      </w:r>
      <w:r w:rsidR="002E56D2" w:rsidRPr="00CA504F">
        <w:rPr>
          <w:rFonts w:ascii="Times New Roman" w:hAnsi="Times New Roman"/>
          <w:sz w:val="29"/>
          <w:szCs w:val="30"/>
        </w:rPr>
        <w:t xml:space="preserve">phương án </w:t>
      </w:r>
      <w:r w:rsidRPr="00CA504F">
        <w:rPr>
          <w:rFonts w:ascii="Times New Roman" w:hAnsi="Times New Roman"/>
          <w:sz w:val="29"/>
          <w:szCs w:val="30"/>
        </w:rPr>
        <w:t>như sau:</w:t>
      </w:r>
    </w:p>
    <w:p w14:paraId="01E883E0" w14:textId="22D35315" w:rsidR="00BC202A" w:rsidRPr="00CA504F" w:rsidRDefault="00BC202A" w:rsidP="00BC202A">
      <w:pPr>
        <w:spacing w:after="120" w:line="300" w:lineRule="auto"/>
        <w:ind w:firstLine="720"/>
        <w:jc w:val="both"/>
        <w:rPr>
          <w:rFonts w:ascii="Times New Roman" w:hAnsi="Times New Roman"/>
          <w:sz w:val="28"/>
          <w:szCs w:val="28"/>
          <w:lang w:val="pt-BR"/>
        </w:rPr>
      </w:pPr>
      <w:r w:rsidRPr="00CA504F">
        <w:rPr>
          <w:rFonts w:ascii="Times New Roman" w:hAnsi="Times New Roman"/>
          <w:b/>
          <w:sz w:val="28"/>
          <w:szCs w:val="28"/>
          <w:lang w:val="pt-BR"/>
        </w:rPr>
        <w:t>Phương án 1</w:t>
      </w:r>
      <w:r w:rsidRPr="00CA504F">
        <w:rPr>
          <w:rFonts w:ascii="Times New Roman" w:hAnsi="Times New Roman"/>
          <w:sz w:val="28"/>
          <w:szCs w:val="28"/>
          <w:lang w:val="pt-BR"/>
        </w:rPr>
        <w:t xml:space="preserve">: Trường hợp người lao động tham gia bảo hiểm xã hội bắt buộc sau một năm nghỉ việc, người tham gia bảo hiểm xã hội tự nguyện sau một năm không tiếp tục đóng bảo hiểm xã hội mà chưa đủ 20 năm đóng bảo hiểm xã hội khi có yêu cầu thì được nhận bảo hiểm xã hội một lần. </w:t>
      </w:r>
      <w:r w:rsidRPr="00CA504F">
        <w:rPr>
          <w:rFonts w:ascii="Times New Roman" w:hAnsi="Times New Roman"/>
          <w:i/>
          <w:iCs/>
          <w:sz w:val="28"/>
          <w:szCs w:val="28"/>
          <w:lang w:val="pt-BR"/>
        </w:rPr>
        <w:t>Gia tăng quyền lợi cho người lao động khi bảo lưu thông qua quy định: (i) Dễ dàng hơn trong điều kiện hưởng lương hưu (giảm từ 20 năm đóng xuống 15 năm); (ii) Quy định liên kết giữa 2 tầng tạo điều kiện cho người lao động không đủ điều kiện hưởng lương hưu được nhận trợ cấp hàng tháng trước tuổi hưởng trợ cấp hưu trí xã hội, đồng thời được hưởng BHYT do ngân sách nhà nước mua cho người lao động.</w:t>
      </w:r>
    </w:p>
    <w:p w14:paraId="5017DCF9" w14:textId="77777777" w:rsidR="00BC202A" w:rsidRPr="00CA504F" w:rsidRDefault="00BC202A" w:rsidP="00BC202A">
      <w:pPr>
        <w:spacing w:after="120" w:line="300" w:lineRule="auto"/>
        <w:ind w:firstLine="720"/>
        <w:jc w:val="both"/>
        <w:rPr>
          <w:rFonts w:ascii="Times New Roman" w:hAnsi="Times New Roman"/>
          <w:sz w:val="28"/>
          <w:szCs w:val="28"/>
          <w:lang w:val="pt-BR"/>
        </w:rPr>
      </w:pPr>
      <w:r w:rsidRPr="00CA504F">
        <w:rPr>
          <w:rFonts w:ascii="Times New Roman" w:hAnsi="Times New Roman"/>
          <w:b/>
          <w:sz w:val="28"/>
          <w:szCs w:val="28"/>
          <w:lang w:val="pt-BR"/>
        </w:rPr>
        <w:t>Phương án 2</w:t>
      </w:r>
      <w:r w:rsidRPr="00CA504F">
        <w:rPr>
          <w:rFonts w:ascii="Times New Roman" w:hAnsi="Times New Roman"/>
          <w:sz w:val="28"/>
          <w:szCs w:val="28"/>
          <w:lang w:val="pt-BR"/>
        </w:rPr>
        <w:t xml:space="preserve">: Trường hợp người lao động tham gia bảo hiểm xã hội bắt buộc sau một năm nghỉ việc, người tham gia bảo hiểm xã hội tự nguyện sau một năm không tiếp tục đóng bảo hiểm xã hội mà chưa đủ 20 năm đóng bảo hiểm xã hội khi có yêu cầu thì được giải quyết một phần nhưng tối đa không quá 50% tổng thời gian đã đóng vào quỹ hưu trí và tử tuất. Thời gian đóng bảo hiểm xã hội còn lại được bảo lưu để người lao động hưởng chế độ bảo hiểm xã hội khi đủ tuổi nghỉ hưu, khi đó người lao động được lựa chọn: (i) Nếu đóng tiếp thì cộng nối để hưởng lương hưu nếu đủ điều kiện; (ii) Chưa đủ thời gian đóng thì được lựa chọn đóng một lần cho </w:t>
      </w:r>
      <w:r w:rsidRPr="00CA504F">
        <w:rPr>
          <w:rFonts w:ascii="Times New Roman" w:hAnsi="Times New Roman"/>
          <w:sz w:val="28"/>
          <w:szCs w:val="28"/>
          <w:lang w:val="pt-BR"/>
        </w:rPr>
        <w:lastRenderedPageBreak/>
        <w:t>thời gian còn thiếu để hưởng lương hưu; (iii) Hưởng trợ cấp hàng tháng (liên kết tầng) trước khi đủ tuổi hưởng trợ cấp hưu trí xã hội; (iv) Hưởng BHXH một lần.</w:t>
      </w:r>
    </w:p>
    <w:p w14:paraId="62D3FA8C" w14:textId="4333AC9A" w:rsidR="00C95051" w:rsidRPr="00CA504F" w:rsidRDefault="00C95051" w:rsidP="00251742">
      <w:pPr>
        <w:spacing w:after="120"/>
        <w:ind w:firstLine="720"/>
        <w:jc w:val="both"/>
        <w:rPr>
          <w:rFonts w:ascii="Times New Roman" w:eastAsia="Times New Roman" w:hAnsi="Times New Roman"/>
          <w:b/>
          <w:sz w:val="24"/>
          <w:szCs w:val="28"/>
        </w:rPr>
      </w:pPr>
      <w:r w:rsidRPr="00CA504F">
        <w:rPr>
          <w:rFonts w:ascii="Times New Roman" w:eastAsia="Times New Roman" w:hAnsi="Times New Roman"/>
          <w:sz w:val="28"/>
          <w:szCs w:val="28"/>
        </w:rPr>
        <w:t xml:space="preserve">Trên đây là Báo cáo </w:t>
      </w:r>
      <w:r w:rsidRPr="00CA504F">
        <w:rPr>
          <w:rFonts w:ascii="Times New Roman" w:hAnsi="Times New Roman"/>
          <w:bCs/>
          <w:sz w:val="28"/>
          <w:szCs w:val="28"/>
        </w:rPr>
        <w:t>tổng kết việc triển khai thực hiện Nghị quyết số 93/2015/QH13 ngày 22/6/2015 của Quốc hội khóa 13 về việc thực hiện chính sách hưởng bảo hiểm xã hội một lần đối với người lao động</w:t>
      </w:r>
      <w:r w:rsidR="002160FC" w:rsidRPr="00CA504F">
        <w:rPr>
          <w:rFonts w:ascii="Times New Roman" w:hAnsi="Times New Roman"/>
          <w:bCs/>
          <w:sz w:val="28"/>
          <w:szCs w:val="28"/>
        </w:rPr>
        <w:t>.</w:t>
      </w:r>
      <w:r w:rsidR="0021174A" w:rsidRPr="00CA504F">
        <w:rPr>
          <w:rFonts w:ascii="Times New Roman" w:hAnsi="Times New Roman"/>
          <w:bCs/>
          <w:sz w:val="28"/>
          <w:szCs w:val="28"/>
        </w:rPr>
        <w:t>/.</w:t>
      </w:r>
    </w:p>
    <w:sectPr w:rsidR="00C95051" w:rsidRPr="00CA504F" w:rsidSect="00BC202A">
      <w:headerReference w:type="default" r:id="rId9"/>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D9D1A" w14:textId="77777777" w:rsidR="00605D15" w:rsidRDefault="00605D15" w:rsidP="00E2691F">
      <w:pPr>
        <w:spacing w:after="0" w:line="240" w:lineRule="auto"/>
      </w:pPr>
      <w:r>
        <w:separator/>
      </w:r>
    </w:p>
  </w:endnote>
  <w:endnote w:type="continuationSeparator" w:id="0">
    <w:p w14:paraId="0118E8B3" w14:textId="77777777" w:rsidR="00605D15" w:rsidRDefault="00605D15" w:rsidP="00E26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C7920" w14:textId="77777777" w:rsidR="00605D15" w:rsidRDefault="00605D15" w:rsidP="00E2691F">
      <w:pPr>
        <w:spacing w:after="0" w:line="240" w:lineRule="auto"/>
      </w:pPr>
      <w:r>
        <w:separator/>
      </w:r>
    </w:p>
  </w:footnote>
  <w:footnote w:type="continuationSeparator" w:id="0">
    <w:p w14:paraId="76E0E89F" w14:textId="77777777" w:rsidR="00605D15" w:rsidRDefault="00605D15" w:rsidP="00E2691F">
      <w:pPr>
        <w:spacing w:after="0" w:line="240" w:lineRule="auto"/>
      </w:pPr>
      <w:r>
        <w:continuationSeparator/>
      </w:r>
    </w:p>
  </w:footnote>
  <w:footnote w:id="1">
    <w:p w14:paraId="1281EFD2" w14:textId="39CAB96B" w:rsidR="00AF3C86" w:rsidRPr="00AF3C86" w:rsidRDefault="00AF3C86" w:rsidP="00AF3C86">
      <w:pPr>
        <w:pStyle w:val="FootnoteText"/>
        <w:jc w:val="both"/>
        <w:rPr>
          <w:rFonts w:ascii="Times New Roman" w:hAnsi="Times New Roman"/>
        </w:rPr>
      </w:pPr>
      <w:r>
        <w:rPr>
          <w:rStyle w:val="FootnoteReference"/>
        </w:rPr>
        <w:footnoteRef/>
      </w:r>
      <w:r>
        <w:t xml:space="preserve"> </w:t>
      </w:r>
      <w:r w:rsidRPr="00AF3C86">
        <w:rPr>
          <w:rFonts w:ascii="Times New Roman" w:hAnsi="Times New Roman"/>
        </w:rPr>
        <w:t>Thời gian người lao động gắn bó với doanh nghiệp khá ngắn, tình trạng “nhảy việc” của công nhân ở Tây Ninh, Đồng Nai diễn ra khá phổ biến: (1) Công ty Continentai Textile thành lập đi vào hoạt động hơn 8 năm nhưng thời gian làm việc của người lao động gắn bó với doanh nghiệp bình quân 2,6 năm, trong đó từ 1-3 năm là 29%, từ 3-5 năm là 24,2%, từ 5 năm trở lên là 17,3%; (2) Công ty FGL ở Đồng Nai thành lập gần 30 năm nhưng thời gian gắn bó với doanh nghiệp bình quân chỉ có 7 năm.</w:t>
      </w:r>
    </w:p>
  </w:footnote>
  <w:footnote w:id="2">
    <w:p w14:paraId="6990380E" w14:textId="5650284C" w:rsidR="00AF3C86" w:rsidRPr="00001104" w:rsidRDefault="00AF3C86" w:rsidP="00001104">
      <w:pPr>
        <w:pStyle w:val="FootnoteText"/>
        <w:jc w:val="both"/>
        <w:rPr>
          <w:rFonts w:ascii="Times New Roman" w:hAnsi="Times New Roman"/>
        </w:rPr>
      </w:pPr>
      <w:r w:rsidRPr="00001104">
        <w:rPr>
          <w:rStyle w:val="FootnoteReference"/>
          <w:rFonts w:ascii="Times New Roman" w:hAnsi="Times New Roman"/>
        </w:rPr>
        <w:footnoteRef/>
      </w:r>
      <w:r w:rsidRPr="00001104">
        <w:rPr>
          <w:rFonts w:ascii="Times New Roman" w:hAnsi="Times New Roman"/>
        </w:rPr>
        <w:t xml:space="preserve"> Qua quá trình khảo sát, phỏng vấn trực tiếp, nhiều công nhân cho biết sau khi nghỉ việc, điều đầu tiên nhận trợ cấp bảo hiểm thất nghiệp để đảm bảo cuộc sống trước mắt, sau đó nghĩ đến đi vay đảm bảo cuộc sống, chăm sóc con nhỏ. Giữa việc đi vay và xin nhận BHXH 1 lần thì họ thường chọn nhận BHXH 1 lần, nếu chưa đủ 1 năm sau khi nghỉ việc, họ chọn biện pháp “thế chấp sổ BHXH” để nhận được ngay số tiền chỉ bằng 60% số tiền đáng lẽ họ được nhận.</w:t>
      </w:r>
    </w:p>
  </w:footnote>
  <w:footnote w:id="3">
    <w:p w14:paraId="7934261E" w14:textId="77777777" w:rsidR="00AF3C86" w:rsidRPr="008A1B4D" w:rsidRDefault="00AF3C86" w:rsidP="002160FC">
      <w:pPr>
        <w:pStyle w:val="FootnoteText"/>
        <w:rPr>
          <w:rFonts w:ascii="Times New Roman" w:hAnsi="Times New Roman"/>
          <w:sz w:val="24"/>
          <w:szCs w:val="24"/>
        </w:rPr>
      </w:pPr>
      <w:r w:rsidRPr="008A1B4D">
        <w:rPr>
          <w:rStyle w:val="FootnoteReference"/>
          <w:rFonts w:ascii="Times New Roman" w:hAnsi="Times New Roman"/>
          <w:sz w:val="24"/>
          <w:szCs w:val="24"/>
        </w:rPr>
        <w:footnoteRef/>
      </w:r>
      <w:r w:rsidRPr="008A1B4D">
        <w:rPr>
          <w:rFonts w:ascii="Times New Roman" w:hAnsi="Times New Roman"/>
          <w:sz w:val="24"/>
          <w:szCs w:val="24"/>
        </w:rPr>
        <w:t xml:space="preserve"> Khoản 1 Điều 3 Luật Bảo hiểm xã hội 2014</w:t>
      </w:r>
    </w:p>
  </w:footnote>
  <w:footnote w:id="4">
    <w:p w14:paraId="60A74708" w14:textId="77777777" w:rsidR="00AF3C86" w:rsidRPr="002D2206" w:rsidRDefault="00AF3C86" w:rsidP="002160FC">
      <w:pPr>
        <w:pStyle w:val="FootnoteText"/>
        <w:rPr>
          <w:sz w:val="24"/>
          <w:szCs w:val="24"/>
        </w:rPr>
      </w:pPr>
      <w:r w:rsidRPr="008A1B4D">
        <w:rPr>
          <w:rStyle w:val="FootnoteReference"/>
          <w:rFonts w:ascii="Times New Roman" w:hAnsi="Times New Roman"/>
          <w:sz w:val="24"/>
          <w:szCs w:val="24"/>
        </w:rPr>
        <w:footnoteRef/>
      </w:r>
      <w:r w:rsidRPr="008A1B4D">
        <w:rPr>
          <w:rFonts w:ascii="Times New Roman" w:hAnsi="Times New Roman"/>
          <w:sz w:val="24"/>
          <w:szCs w:val="24"/>
        </w:rPr>
        <w:t xml:space="preserve"> Tổng cục Thống kê. Già hóa dân số và người cao tuổi ở iệt Nam.</w:t>
      </w:r>
    </w:p>
  </w:footnote>
  <w:footnote w:id="5">
    <w:p w14:paraId="061B2BE6" w14:textId="0F358BCD" w:rsidR="00AF3C86" w:rsidRPr="008A1B4D" w:rsidRDefault="00AF3C86" w:rsidP="000057B9">
      <w:pPr>
        <w:pStyle w:val="FootnoteText"/>
        <w:jc w:val="both"/>
        <w:rPr>
          <w:rFonts w:ascii="Times New Roman" w:hAnsi="Times New Roman"/>
        </w:rPr>
      </w:pPr>
      <w:r w:rsidRPr="008A1B4D">
        <w:rPr>
          <w:rStyle w:val="FootnoteReference"/>
          <w:rFonts w:ascii="Times New Roman" w:hAnsi="Times New Roman"/>
          <w:sz w:val="24"/>
        </w:rPr>
        <w:footnoteRef/>
      </w:r>
      <w:r w:rsidRPr="008A1B4D">
        <w:rPr>
          <w:rFonts w:ascii="Times New Roman" w:hAnsi="Times New Roman"/>
          <w:sz w:val="24"/>
        </w:rPr>
        <w:t xml:space="preserve"> Nghị định số 20/2021/NĐ-CP ngày 15/3/2021 của Chính phủ quy định tuổi chung là từ đủ 80 tuổi trở lên, trừ một số trường hợp đặc biệt.</w:t>
      </w:r>
    </w:p>
  </w:footnote>
  <w:footnote w:id="6">
    <w:p w14:paraId="1E95DC9B" w14:textId="77777777" w:rsidR="00AF3C86" w:rsidRPr="002B21C1" w:rsidRDefault="00AF3C86" w:rsidP="005E52E3">
      <w:pPr>
        <w:pStyle w:val="FootnoteText"/>
        <w:jc w:val="both"/>
        <w:rPr>
          <w:rFonts w:ascii="Times New Roman" w:hAnsi="Times New Roman"/>
        </w:rPr>
      </w:pPr>
      <w:r w:rsidRPr="00773B5D">
        <w:rPr>
          <w:rStyle w:val="FootnoteReference"/>
        </w:rPr>
        <w:footnoteRef/>
      </w:r>
      <w:r w:rsidRPr="00773B5D">
        <w:t xml:space="preserve"> </w:t>
      </w:r>
      <w:r w:rsidRPr="002B21C1">
        <w:rPr>
          <w:rFonts w:ascii="Times New Roman" w:hAnsi="Times New Roman"/>
        </w:rPr>
        <w:t>Quỹ BHTN của Hàn Quốc hỗ trợ hai nhóm lao động là lao động tàu cá và lao động xây dựng có nguy cơ mất việc làm cao hoặc rất khó tìm việc sau khi mất việc làm thông qua việc giúp trả một phần tiền lương hoặc chi phí đóng BHXH. Khuyến nghị số 204 năm 2015 của Tổ chức Lao động quốc tế về Chính thức hóa khu vực phi chính thức cũng khuyến khích giảm chi phí đóng BHXH cho các doanh nghiệp nhỏ và siêu nhỏ để người lao động khu vực này có thể tiếp cận được các chính sách BHXH và an sinh xã hội.</w:t>
      </w:r>
    </w:p>
  </w:footnote>
  <w:footnote w:id="7">
    <w:p w14:paraId="763CF25C" w14:textId="77777777" w:rsidR="00AF3C86" w:rsidRPr="002B21C1" w:rsidRDefault="00AF3C86" w:rsidP="005E52E3">
      <w:pPr>
        <w:spacing w:line="240" w:lineRule="auto"/>
        <w:jc w:val="both"/>
        <w:rPr>
          <w:rFonts w:ascii="Times New Roman" w:hAnsi="Times New Roman"/>
        </w:rPr>
      </w:pPr>
      <w:r w:rsidRPr="002B21C1">
        <w:rPr>
          <w:rStyle w:val="FootnoteReference"/>
          <w:rFonts w:ascii="Times New Roman" w:hAnsi="Times New Roman"/>
          <w:sz w:val="20"/>
          <w:szCs w:val="20"/>
        </w:rPr>
        <w:footnoteRef/>
      </w:r>
      <w:r w:rsidRPr="002B21C1">
        <w:rPr>
          <w:rFonts w:ascii="Times New Roman" w:hAnsi="Times New Roman"/>
          <w:sz w:val="20"/>
          <w:szCs w:val="20"/>
        </w:rPr>
        <w:t xml:space="preserve"> Chẳng hạn trong trường hợp của Việ</w:t>
      </w:r>
      <w:r>
        <w:rPr>
          <w:rFonts w:ascii="Times New Roman" w:hAnsi="Times New Roman"/>
          <w:sz w:val="20"/>
          <w:szCs w:val="20"/>
        </w:rPr>
        <w:t xml:space="preserve">t Nam: </w:t>
      </w:r>
      <w:r w:rsidRPr="002B21C1">
        <w:rPr>
          <w:rFonts w:ascii="Times New Roman" w:hAnsi="Times New Roman"/>
          <w:sz w:val="20"/>
          <w:szCs w:val="20"/>
        </w:rPr>
        <w:t xml:space="preserve">Nếu hỗ trợ doanh nghiệp sử dụng lao động thuộc nhóm này mỗi tháng 1 triệu đồng/1 lao động để giảm áp lực về tiền lương, về chi phí đóng BHXH thì với 6.000 tỷ đồng từ Quỹ mỗi năm có thể giúp được cho khoảng 500.000 lao động không mất việc làm. </w:t>
      </w:r>
      <w:r>
        <w:rPr>
          <w:rFonts w:ascii="Times New Roman" w:hAnsi="Times New Roman"/>
          <w:sz w:val="20"/>
          <w:szCs w:val="20"/>
        </w:rPr>
        <w:t xml:space="preserve">Đồng thời tiết kiệm được khoảng 5.000 tỷ do không phải trả trợ cấp thất nghiệp do người lao động được duy trì việc làm, không bị thất nghiệp. </w:t>
      </w:r>
      <w:r w:rsidRPr="002B21C1">
        <w:rPr>
          <w:rFonts w:ascii="Times New Roman" w:hAnsi="Times New Roman"/>
          <w:sz w:val="20"/>
          <w:szCs w:val="20"/>
        </w:rPr>
        <w:t>Họ tiếp tục được tham gia BHXH và tạo ra hàng hóa, dịch vụ, đóng góp vào tăng trưởng. Đây cũng là nguyên tắc chia sẻ theo nghĩa rộng, doanh nghiệp lớn ít sa thải lao động hỗ trợ doanh nghiệp nhỏ giảm sa thải lao động.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062321"/>
      <w:docPartObj>
        <w:docPartGallery w:val="Page Numbers (Top of Page)"/>
        <w:docPartUnique/>
      </w:docPartObj>
    </w:sdtPr>
    <w:sdtEndPr>
      <w:rPr>
        <w:noProof/>
      </w:rPr>
    </w:sdtEndPr>
    <w:sdtContent>
      <w:p w14:paraId="0D68FE43" w14:textId="12955294" w:rsidR="00AF3C86" w:rsidRDefault="00AF3C86">
        <w:pPr>
          <w:pStyle w:val="Header"/>
          <w:jc w:val="center"/>
        </w:pPr>
        <w:r>
          <w:fldChar w:fldCharType="begin"/>
        </w:r>
        <w:r>
          <w:instrText xml:space="preserve"> PAGE   \* MERGEFORMAT </w:instrText>
        </w:r>
        <w:r>
          <w:fldChar w:fldCharType="separate"/>
        </w:r>
        <w:r w:rsidR="00EB6A08">
          <w:rPr>
            <w:noProof/>
          </w:rPr>
          <w:t>3</w:t>
        </w:r>
        <w:r>
          <w:rPr>
            <w:noProof/>
          </w:rPr>
          <w:fldChar w:fldCharType="end"/>
        </w:r>
      </w:p>
    </w:sdtContent>
  </w:sdt>
  <w:p w14:paraId="1AAD1890" w14:textId="77777777" w:rsidR="00AF3C86" w:rsidRDefault="00AF3C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903"/>
    <w:rsid w:val="00001104"/>
    <w:rsid w:val="0000245A"/>
    <w:rsid w:val="000050B8"/>
    <w:rsid w:val="000057B9"/>
    <w:rsid w:val="00011D26"/>
    <w:rsid w:val="00022C02"/>
    <w:rsid w:val="00057AD2"/>
    <w:rsid w:val="000856FA"/>
    <w:rsid w:val="000873D9"/>
    <w:rsid w:val="00090127"/>
    <w:rsid w:val="0009140C"/>
    <w:rsid w:val="0009394B"/>
    <w:rsid w:val="000A1213"/>
    <w:rsid w:val="000A664D"/>
    <w:rsid w:val="000C21FC"/>
    <w:rsid w:val="000D10EF"/>
    <w:rsid w:val="000D5206"/>
    <w:rsid w:val="000E3F4A"/>
    <w:rsid w:val="000E4F89"/>
    <w:rsid w:val="00115E1E"/>
    <w:rsid w:val="00125288"/>
    <w:rsid w:val="0014349A"/>
    <w:rsid w:val="00144A38"/>
    <w:rsid w:val="001462A6"/>
    <w:rsid w:val="001553EF"/>
    <w:rsid w:val="001676DD"/>
    <w:rsid w:val="00174CE2"/>
    <w:rsid w:val="00185206"/>
    <w:rsid w:val="0019611C"/>
    <w:rsid w:val="001A221F"/>
    <w:rsid w:val="001B1450"/>
    <w:rsid w:val="001C0EC7"/>
    <w:rsid w:val="001C669A"/>
    <w:rsid w:val="001E136A"/>
    <w:rsid w:val="001E69D2"/>
    <w:rsid w:val="001F4385"/>
    <w:rsid w:val="00202B37"/>
    <w:rsid w:val="00206278"/>
    <w:rsid w:val="0021174A"/>
    <w:rsid w:val="002121F2"/>
    <w:rsid w:val="002160FC"/>
    <w:rsid w:val="002169FD"/>
    <w:rsid w:val="00223F17"/>
    <w:rsid w:val="00235DF7"/>
    <w:rsid w:val="00237903"/>
    <w:rsid w:val="00242DB2"/>
    <w:rsid w:val="00251742"/>
    <w:rsid w:val="00254AEF"/>
    <w:rsid w:val="00261B42"/>
    <w:rsid w:val="002658A6"/>
    <w:rsid w:val="00286C55"/>
    <w:rsid w:val="00292E4C"/>
    <w:rsid w:val="00293B9E"/>
    <w:rsid w:val="00294C31"/>
    <w:rsid w:val="002B1745"/>
    <w:rsid w:val="002B21C1"/>
    <w:rsid w:val="002B242B"/>
    <w:rsid w:val="002B4E4F"/>
    <w:rsid w:val="002B7410"/>
    <w:rsid w:val="002B7799"/>
    <w:rsid w:val="002C6D0F"/>
    <w:rsid w:val="002D3D07"/>
    <w:rsid w:val="002E56D2"/>
    <w:rsid w:val="00304F9A"/>
    <w:rsid w:val="0031651E"/>
    <w:rsid w:val="003262AD"/>
    <w:rsid w:val="00330F92"/>
    <w:rsid w:val="00332343"/>
    <w:rsid w:val="003404CC"/>
    <w:rsid w:val="0036194B"/>
    <w:rsid w:val="00363BF5"/>
    <w:rsid w:val="00374D45"/>
    <w:rsid w:val="00390DEE"/>
    <w:rsid w:val="003A0C14"/>
    <w:rsid w:val="003A222B"/>
    <w:rsid w:val="003A2332"/>
    <w:rsid w:val="003A4F38"/>
    <w:rsid w:val="003A6DBF"/>
    <w:rsid w:val="003B1C38"/>
    <w:rsid w:val="003D3709"/>
    <w:rsid w:val="003E0572"/>
    <w:rsid w:val="003E1237"/>
    <w:rsid w:val="003E2898"/>
    <w:rsid w:val="00400092"/>
    <w:rsid w:val="0040419F"/>
    <w:rsid w:val="0041435E"/>
    <w:rsid w:val="00414F03"/>
    <w:rsid w:val="00420039"/>
    <w:rsid w:val="00423227"/>
    <w:rsid w:val="00441FCD"/>
    <w:rsid w:val="00442BA1"/>
    <w:rsid w:val="00462BDD"/>
    <w:rsid w:val="0046333C"/>
    <w:rsid w:val="00463A01"/>
    <w:rsid w:val="00464756"/>
    <w:rsid w:val="00471B94"/>
    <w:rsid w:val="0047488D"/>
    <w:rsid w:val="0048558B"/>
    <w:rsid w:val="00485709"/>
    <w:rsid w:val="0049510B"/>
    <w:rsid w:val="004A15D6"/>
    <w:rsid w:val="004A27CA"/>
    <w:rsid w:val="004A78F0"/>
    <w:rsid w:val="004B6FD5"/>
    <w:rsid w:val="004C21AD"/>
    <w:rsid w:val="004C2622"/>
    <w:rsid w:val="004C4941"/>
    <w:rsid w:val="004F23C5"/>
    <w:rsid w:val="005304E5"/>
    <w:rsid w:val="00530E16"/>
    <w:rsid w:val="00532768"/>
    <w:rsid w:val="00535EA3"/>
    <w:rsid w:val="00545387"/>
    <w:rsid w:val="00547445"/>
    <w:rsid w:val="00555422"/>
    <w:rsid w:val="00564569"/>
    <w:rsid w:val="0058580B"/>
    <w:rsid w:val="005A5550"/>
    <w:rsid w:val="005A6974"/>
    <w:rsid w:val="005A7E7A"/>
    <w:rsid w:val="005B232C"/>
    <w:rsid w:val="005B26D4"/>
    <w:rsid w:val="005B4F31"/>
    <w:rsid w:val="005B7219"/>
    <w:rsid w:val="005C1C39"/>
    <w:rsid w:val="005C48AD"/>
    <w:rsid w:val="005D66EE"/>
    <w:rsid w:val="005E52E3"/>
    <w:rsid w:val="005E7F21"/>
    <w:rsid w:val="00605D15"/>
    <w:rsid w:val="006076E8"/>
    <w:rsid w:val="00607E03"/>
    <w:rsid w:val="006105A5"/>
    <w:rsid w:val="00617DD3"/>
    <w:rsid w:val="00623975"/>
    <w:rsid w:val="00624B19"/>
    <w:rsid w:val="0063367A"/>
    <w:rsid w:val="00633AD1"/>
    <w:rsid w:val="00635EC5"/>
    <w:rsid w:val="006402D5"/>
    <w:rsid w:val="00644AC1"/>
    <w:rsid w:val="00662716"/>
    <w:rsid w:val="00664DA3"/>
    <w:rsid w:val="00674416"/>
    <w:rsid w:val="006776C2"/>
    <w:rsid w:val="006956C5"/>
    <w:rsid w:val="0069760D"/>
    <w:rsid w:val="006B4EFE"/>
    <w:rsid w:val="006B58EC"/>
    <w:rsid w:val="006B784D"/>
    <w:rsid w:val="006B7B7F"/>
    <w:rsid w:val="006C5516"/>
    <w:rsid w:val="006D15A2"/>
    <w:rsid w:val="006D543A"/>
    <w:rsid w:val="0070092C"/>
    <w:rsid w:val="007020EF"/>
    <w:rsid w:val="00704E97"/>
    <w:rsid w:val="00721DE0"/>
    <w:rsid w:val="007268A0"/>
    <w:rsid w:val="00727CA9"/>
    <w:rsid w:val="00732BC7"/>
    <w:rsid w:val="00745148"/>
    <w:rsid w:val="00750BAF"/>
    <w:rsid w:val="007628C5"/>
    <w:rsid w:val="00772380"/>
    <w:rsid w:val="007739CA"/>
    <w:rsid w:val="00797545"/>
    <w:rsid w:val="007A14B4"/>
    <w:rsid w:val="007A1C00"/>
    <w:rsid w:val="007A1DC2"/>
    <w:rsid w:val="007A2D31"/>
    <w:rsid w:val="007B0CFB"/>
    <w:rsid w:val="007B12E1"/>
    <w:rsid w:val="007B493A"/>
    <w:rsid w:val="007B5F54"/>
    <w:rsid w:val="007C33DB"/>
    <w:rsid w:val="007C6B22"/>
    <w:rsid w:val="007D21AC"/>
    <w:rsid w:val="007D34BC"/>
    <w:rsid w:val="007D70AC"/>
    <w:rsid w:val="007E2F86"/>
    <w:rsid w:val="007F1E50"/>
    <w:rsid w:val="007F33A2"/>
    <w:rsid w:val="007F541F"/>
    <w:rsid w:val="007F56D9"/>
    <w:rsid w:val="00825464"/>
    <w:rsid w:val="00833F60"/>
    <w:rsid w:val="0084339F"/>
    <w:rsid w:val="008474B6"/>
    <w:rsid w:val="00847FD4"/>
    <w:rsid w:val="00854C13"/>
    <w:rsid w:val="00860032"/>
    <w:rsid w:val="008603D2"/>
    <w:rsid w:val="00862187"/>
    <w:rsid w:val="0086271A"/>
    <w:rsid w:val="00885918"/>
    <w:rsid w:val="00886753"/>
    <w:rsid w:val="00893E29"/>
    <w:rsid w:val="00896D38"/>
    <w:rsid w:val="008A1B4D"/>
    <w:rsid w:val="008A1F6D"/>
    <w:rsid w:val="008A4370"/>
    <w:rsid w:val="008A5724"/>
    <w:rsid w:val="008B4AC5"/>
    <w:rsid w:val="008C1A45"/>
    <w:rsid w:val="008D1B69"/>
    <w:rsid w:val="008D576E"/>
    <w:rsid w:val="008E194C"/>
    <w:rsid w:val="008E3C42"/>
    <w:rsid w:val="008E5D06"/>
    <w:rsid w:val="008F0657"/>
    <w:rsid w:val="008F1B7A"/>
    <w:rsid w:val="008F6E4B"/>
    <w:rsid w:val="00912296"/>
    <w:rsid w:val="009149BC"/>
    <w:rsid w:val="00951CAD"/>
    <w:rsid w:val="00963B4F"/>
    <w:rsid w:val="009645C5"/>
    <w:rsid w:val="009671C5"/>
    <w:rsid w:val="00970C57"/>
    <w:rsid w:val="00976B1C"/>
    <w:rsid w:val="0098408B"/>
    <w:rsid w:val="00992919"/>
    <w:rsid w:val="009A2920"/>
    <w:rsid w:val="009A380B"/>
    <w:rsid w:val="009A3E17"/>
    <w:rsid w:val="009A7363"/>
    <w:rsid w:val="009C743D"/>
    <w:rsid w:val="009C7A19"/>
    <w:rsid w:val="009F290F"/>
    <w:rsid w:val="009F3624"/>
    <w:rsid w:val="00A14A39"/>
    <w:rsid w:val="00A16CD6"/>
    <w:rsid w:val="00A21C5C"/>
    <w:rsid w:val="00A22911"/>
    <w:rsid w:val="00A2326D"/>
    <w:rsid w:val="00A30F6D"/>
    <w:rsid w:val="00A44D8B"/>
    <w:rsid w:val="00A46402"/>
    <w:rsid w:val="00A56C58"/>
    <w:rsid w:val="00A60940"/>
    <w:rsid w:val="00A65BA6"/>
    <w:rsid w:val="00A76891"/>
    <w:rsid w:val="00A85704"/>
    <w:rsid w:val="00A93268"/>
    <w:rsid w:val="00A96438"/>
    <w:rsid w:val="00AA12F0"/>
    <w:rsid w:val="00AB6282"/>
    <w:rsid w:val="00AB678C"/>
    <w:rsid w:val="00AC2A76"/>
    <w:rsid w:val="00AD2B17"/>
    <w:rsid w:val="00AD47CF"/>
    <w:rsid w:val="00AE5BB1"/>
    <w:rsid w:val="00AF3C86"/>
    <w:rsid w:val="00AF696F"/>
    <w:rsid w:val="00AF7BD4"/>
    <w:rsid w:val="00B047DD"/>
    <w:rsid w:val="00B05650"/>
    <w:rsid w:val="00B16C6F"/>
    <w:rsid w:val="00B237D8"/>
    <w:rsid w:val="00B23A43"/>
    <w:rsid w:val="00B36111"/>
    <w:rsid w:val="00B617E3"/>
    <w:rsid w:val="00B645B9"/>
    <w:rsid w:val="00B66B3A"/>
    <w:rsid w:val="00B67671"/>
    <w:rsid w:val="00B72E09"/>
    <w:rsid w:val="00B83BDC"/>
    <w:rsid w:val="00B84F21"/>
    <w:rsid w:val="00B871C8"/>
    <w:rsid w:val="00B87F6F"/>
    <w:rsid w:val="00B911BC"/>
    <w:rsid w:val="00B979CA"/>
    <w:rsid w:val="00BB40EA"/>
    <w:rsid w:val="00BB480B"/>
    <w:rsid w:val="00BC202A"/>
    <w:rsid w:val="00BC2BD4"/>
    <w:rsid w:val="00BC73EE"/>
    <w:rsid w:val="00BD1EC5"/>
    <w:rsid w:val="00BF05C0"/>
    <w:rsid w:val="00BF3AE4"/>
    <w:rsid w:val="00BF5538"/>
    <w:rsid w:val="00C04C1B"/>
    <w:rsid w:val="00C068E2"/>
    <w:rsid w:val="00C074F9"/>
    <w:rsid w:val="00C104F1"/>
    <w:rsid w:val="00C33279"/>
    <w:rsid w:val="00C335D7"/>
    <w:rsid w:val="00C35F43"/>
    <w:rsid w:val="00C45086"/>
    <w:rsid w:val="00C45C03"/>
    <w:rsid w:val="00C558FA"/>
    <w:rsid w:val="00C60F86"/>
    <w:rsid w:val="00C648D4"/>
    <w:rsid w:val="00C65E9E"/>
    <w:rsid w:val="00C701F7"/>
    <w:rsid w:val="00C70478"/>
    <w:rsid w:val="00C7219A"/>
    <w:rsid w:val="00C7781F"/>
    <w:rsid w:val="00C95051"/>
    <w:rsid w:val="00CA504F"/>
    <w:rsid w:val="00CB12FD"/>
    <w:rsid w:val="00CB1DD8"/>
    <w:rsid w:val="00CB437D"/>
    <w:rsid w:val="00CB678F"/>
    <w:rsid w:val="00CC2A3B"/>
    <w:rsid w:val="00CC7EFC"/>
    <w:rsid w:val="00CD44A2"/>
    <w:rsid w:val="00CD75FA"/>
    <w:rsid w:val="00CF4B8A"/>
    <w:rsid w:val="00CF7739"/>
    <w:rsid w:val="00CF7C2C"/>
    <w:rsid w:val="00D241AB"/>
    <w:rsid w:val="00D40BC3"/>
    <w:rsid w:val="00D73140"/>
    <w:rsid w:val="00D75C94"/>
    <w:rsid w:val="00D80716"/>
    <w:rsid w:val="00D93AFA"/>
    <w:rsid w:val="00DB26D0"/>
    <w:rsid w:val="00DB41F0"/>
    <w:rsid w:val="00DC5513"/>
    <w:rsid w:val="00DD019D"/>
    <w:rsid w:val="00DD3CAE"/>
    <w:rsid w:val="00DF51BC"/>
    <w:rsid w:val="00E04580"/>
    <w:rsid w:val="00E07AF2"/>
    <w:rsid w:val="00E105F3"/>
    <w:rsid w:val="00E16EA5"/>
    <w:rsid w:val="00E22333"/>
    <w:rsid w:val="00E2691F"/>
    <w:rsid w:val="00E45432"/>
    <w:rsid w:val="00E45EA6"/>
    <w:rsid w:val="00E55298"/>
    <w:rsid w:val="00E63484"/>
    <w:rsid w:val="00E64E6D"/>
    <w:rsid w:val="00E73DBE"/>
    <w:rsid w:val="00E85346"/>
    <w:rsid w:val="00E90766"/>
    <w:rsid w:val="00E93C72"/>
    <w:rsid w:val="00EA685C"/>
    <w:rsid w:val="00EA68B9"/>
    <w:rsid w:val="00EB4B53"/>
    <w:rsid w:val="00EB6A08"/>
    <w:rsid w:val="00EC0B87"/>
    <w:rsid w:val="00EC70A6"/>
    <w:rsid w:val="00EE17C8"/>
    <w:rsid w:val="00EE5C04"/>
    <w:rsid w:val="00EF51EA"/>
    <w:rsid w:val="00EF73CE"/>
    <w:rsid w:val="00F0148E"/>
    <w:rsid w:val="00F23574"/>
    <w:rsid w:val="00F2695F"/>
    <w:rsid w:val="00F46125"/>
    <w:rsid w:val="00F477DC"/>
    <w:rsid w:val="00F661BA"/>
    <w:rsid w:val="00F66AA9"/>
    <w:rsid w:val="00F8338E"/>
    <w:rsid w:val="00F85E09"/>
    <w:rsid w:val="00F956B9"/>
    <w:rsid w:val="00F96AB0"/>
    <w:rsid w:val="00FA65F8"/>
    <w:rsid w:val="00FB2024"/>
    <w:rsid w:val="00FB357D"/>
    <w:rsid w:val="00FB7E86"/>
    <w:rsid w:val="00FD03F7"/>
    <w:rsid w:val="00FD3607"/>
    <w:rsid w:val="00FD373D"/>
    <w:rsid w:val="00FD5D97"/>
    <w:rsid w:val="00FE670D"/>
    <w:rsid w:val="00FF5113"/>
    <w:rsid w:val="00FF5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B146B"/>
  <w15:chartTrackingRefBased/>
  <w15:docId w15:val="{35F4E1D5-A381-4C14-AFE4-10672973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D38"/>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rsid w:val="00896D38"/>
    <w:pPr>
      <w:widowControl w:val="0"/>
      <w:spacing w:line="360" w:lineRule="auto"/>
      <w:jc w:val="center"/>
    </w:pPr>
    <w:rPr>
      <w:rFonts w:ascii="Times New Roman" w:hAnsi="Times New Roman"/>
      <w:b/>
      <w:sz w:val="30"/>
      <w:szCs w:val="26"/>
    </w:rPr>
  </w:style>
  <w:style w:type="paragraph" w:styleId="BodyText">
    <w:name w:val="Body Text"/>
    <w:basedOn w:val="Normal"/>
    <w:link w:val="BodyTextChar"/>
    <w:unhideWhenUsed/>
    <w:rsid w:val="00B237D8"/>
    <w:pPr>
      <w:spacing w:before="120" w:after="0" w:line="240" w:lineRule="auto"/>
      <w:jc w:val="center"/>
    </w:pPr>
    <w:rPr>
      <w:rFonts w:ascii="Times New Roman" w:eastAsia="Times New Roman" w:hAnsi="Times New Roman"/>
      <w:b/>
      <w:sz w:val="28"/>
    </w:rPr>
  </w:style>
  <w:style w:type="character" w:customStyle="1" w:styleId="BodyTextChar">
    <w:name w:val="Body Text Char"/>
    <w:basedOn w:val="DefaultParagraphFont"/>
    <w:link w:val="BodyText"/>
    <w:rsid w:val="00B237D8"/>
    <w:rPr>
      <w:rFonts w:eastAsia="Times New Roman" w:cs="Times New Roman"/>
      <w:b/>
    </w:rPr>
  </w:style>
  <w:style w:type="character" w:customStyle="1" w:styleId="jlqj4b">
    <w:name w:val="jlqj4b"/>
    <w:basedOn w:val="DefaultParagraphFont"/>
    <w:rsid w:val="00B237D8"/>
  </w:style>
  <w:style w:type="paragraph" w:styleId="NormalWeb">
    <w:name w:val="Normal (Web)"/>
    <w:basedOn w:val="Normal"/>
    <w:link w:val="NormalWebChar"/>
    <w:uiPriority w:val="99"/>
    <w:unhideWhenUsed/>
    <w:qFormat/>
    <w:rsid w:val="00EC70A6"/>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locked/>
    <w:rsid w:val="00CD44A2"/>
    <w:rPr>
      <w:rFonts w:eastAsia="Times New Roman" w:cs="Times New Roman"/>
      <w:sz w:val="24"/>
      <w:szCs w:val="24"/>
    </w:rPr>
  </w:style>
  <w:style w:type="paragraph" w:styleId="FootnoteText">
    <w:name w:val="footnote text"/>
    <w:basedOn w:val="Normal"/>
    <w:link w:val="FootnoteTextChar"/>
    <w:uiPriority w:val="99"/>
    <w:semiHidden/>
    <w:unhideWhenUsed/>
    <w:rsid w:val="00E269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691F"/>
    <w:rPr>
      <w:rFonts w:ascii="Calibri" w:eastAsia="Calibri" w:hAnsi="Calibri" w:cs="Times New Roman"/>
      <w:sz w:val="20"/>
      <w:szCs w:val="20"/>
    </w:rPr>
  </w:style>
  <w:style w:type="character" w:styleId="FootnoteReference">
    <w:name w:val="footnote reference"/>
    <w:aliases w:val="Footnote,Footnote text,ftref,Footnote Text1,Footnote Text Char Char Char Char Char Char Ch Char Char Char,Footnote Text Char Char Char Char Char Char Ch Char Char Char Char Char Char C,f,16 Point,Superscript 6 Point,BVI fnr,fr,Re,10"/>
    <w:basedOn w:val="DefaultParagraphFont"/>
    <w:uiPriority w:val="99"/>
    <w:unhideWhenUsed/>
    <w:rsid w:val="00E2691F"/>
    <w:rPr>
      <w:vertAlign w:val="superscript"/>
    </w:rPr>
  </w:style>
  <w:style w:type="paragraph" w:styleId="Header">
    <w:name w:val="header"/>
    <w:basedOn w:val="Normal"/>
    <w:link w:val="HeaderChar"/>
    <w:uiPriority w:val="99"/>
    <w:unhideWhenUsed/>
    <w:rsid w:val="00704E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4E97"/>
    <w:rPr>
      <w:rFonts w:ascii="Calibri" w:eastAsia="Calibri" w:hAnsi="Calibri" w:cs="Times New Roman"/>
      <w:sz w:val="22"/>
    </w:rPr>
  </w:style>
  <w:style w:type="paragraph" w:styleId="Footer">
    <w:name w:val="footer"/>
    <w:basedOn w:val="Normal"/>
    <w:link w:val="FooterChar"/>
    <w:uiPriority w:val="99"/>
    <w:unhideWhenUsed/>
    <w:rsid w:val="00704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4E97"/>
    <w:rPr>
      <w:rFonts w:ascii="Calibri" w:eastAsia="Calibri" w:hAnsi="Calibri" w:cs="Times New Roman"/>
      <w:sz w:val="22"/>
    </w:rPr>
  </w:style>
  <w:style w:type="paragraph" w:styleId="BalloonText">
    <w:name w:val="Balloon Text"/>
    <w:basedOn w:val="Normal"/>
    <w:link w:val="BalloonTextChar"/>
    <w:uiPriority w:val="99"/>
    <w:semiHidden/>
    <w:unhideWhenUsed/>
    <w:rsid w:val="00A16C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6CD6"/>
    <w:rPr>
      <w:rFonts w:ascii="Segoe UI" w:eastAsia="Calibri" w:hAnsi="Segoe UI" w:cs="Segoe UI"/>
      <w:sz w:val="18"/>
      <w:szCs w:val="18"/>
    </w:rPr>
  </w:style>
  <w:style w:type="paragraph" w:styleId="ListParagraph">
    <w:name w:val="List Paragraph"/>
    <w:aliases w:val="First level bullet,First level bulletCxSpLast"/>
    <w:basedOn w:val="Normal"/>
    <w:link w:val="ListParagraphChar"/>
    <w:uiPriority w:val="34"/>
    <w:qFormat/>
    <w:rsid w:val="00EA685C"/>
    <w:pPr>
      <w:ind w:left="720"/>
      <w:contextualSpacing/>
    </w:pPr>
  </w:style>
  <w:style w:type="character" w:customStyle="1" w:styleId="ListParagraphChar">
    <w:name w:val="List Paragraph Char"/>
    <w:aliases w:val="First level bullet Char,First level bulletCxSpLast Char"/>
    <w:link w:val="ListParagraph"/>
    <w:uiPriority w:val="34"/>
    <w:rsid w:val="006B58EC"/>
    <w:rPr>
      <w:rFonts w:ascii="Calibri" w:eastAsia="Calibri" w:hAnsi="Calibri" w:cs="Times New Roman"/>
      <w:sz w:val="22"/>
    </w:rPr>
  </w:style>
  <w:style w:type="table" w:styleId="TableGrid">
    <w:name w:val="Table Grid"/>
    <w:basedOn w:val="TableNormal"/>
    <w:uiPriority w:val="39"/>
    <w:rsid w:val="00DC5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B40EA"/>
    <w:rPr>
      <w:color w:val="0000FF"/>
      <w:u w:val="single"/>
    </w:rPr>
  </w:style>
  <w:style w:type="character" w:styleId="FollowedHyperlink">
    <w:name w:val="FollowedHyperlink"/>
    <w:basedOn w:val="DefaultParagraphFont"/>
    <w:uiPriority w:val="99"/>
    <w:semiHidden/>
    <w:unhideWhenUsed/>
    <w:rsid w:val="00BB40EA"/>
    <w:rPr>
      <w:color w:val="800080"/>
      <w:u w:val="single"/>
    </w:rPr>
  </w:style>
  <w:style w:type="paragraph" w:customStyle="1" w:styleId="xl65">
    <w:name w:val="xl65"/>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18"/>
      <w:szCs w:val="18"/>
    </w:rPr>
  </w:style>
  <w:style w:type="paragraph" w:customStyle="1" w:styleId="xl66">
    <w:name w:val="xl66"/>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rPr>
  </w:style>
  <w:style w:type="paragraph" w:customStyle="1" w:styleId="xl67">
    <w:name w:val="xl67"/>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color w:val="000000"/>
      <w:sz w:val="18"/>
      <w:szCs w:val="18"/>
    </w:rPr>
  </w:style>
  <w:style w:type="paragraph" w:customStyle="1" w:styleId="xl68">
    <w:name w:val="xl68"/>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color w:val="000000"/>
      <w:sz w:val="18"/>
      <w:szCs w:val="18"/>
    </w:rPr>
  </w:style>
  <w:style w:type="paragraph" w:customStyle="1" w:styleId="xl69">
    <w:name w:val="xl69"/>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color w:val="000000"/>
      <w:sz w:val="18"/>
      <w:szCs w:val="18"/>
    </w:rPr>
  </w:style>
  <w:style w:type="paragraph" w:customStyle="1" w:styleId="xl70">
    <w:name w:val="xl70"/>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18"/>
      <w:szCs w:val="18"/>
    </w:rPr>
  </w:style>
  <w:style w:type="paragraph" w:customStyle="1" w:styleId="xl71">
    <w:name w:val="xl71"/>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18"/>
      <w:szCs w:val="18"/>
    </w:rPr>
  </w:style>
  <w:style w:type="paragraph" w:customStyle="1" w:styleId="xl72">
    <w:name w:val="xl72"/>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18"/>
      <w:szCs w:val="18"/>
    </w:rPr>
  </w:style>
  <w:style w:type="paragraph" w:customStyle="1" w:styleId="xl73">
    <w:name w:val="xl73"/>
    <w:basedOn w:val="Normal"/>
    <w:rsid w:val="00BB40EA"/>
    <w:pPr>
      <w:spacing w:before="100" w:beforeAutospacing="1" w:after="100" w:afterAutospacing="1" w:line="240" w:lineRule="auto"/>
    </w:pPr>
    <w:rPr>
      <w:rFonts w:ascii="Times New Roman" w:eastAsia="Times New Roman" w:hAnsi="Times New Roman"/>
      <w:b/>
      <w:bCs/>
      <w:sz w:val="18"/>
      <w:szCs w:val="18"/>
    </w:rPr>
  </w:style>
  <w:style w:type="paragraph" w:customStyle="1" w:styleId="xl74">
    <w:name w:val="xl74"/>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18"/>
      <w:szCs w:val="18"/>
    </w:rPr>
  </w:style>
  <w:style w:type="paragraph" w:customStyle="1" w:styleId="xl75">
    <w:name w:val="xl75"/>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i/>
      <w:iCs/>
      <w:color w:val="000000"/>
      <w:sz w:val="18"/>
      <w:szCs w:val="18"/>
    </w:rPr>
  </w:style>
  <w:style w:type="paragraph" w:customStyle="1" w:styleId="xl76">
    <w:name w:val="xl76"/>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rPr>
  </w:style>
  <w:style w:type="paragraph" w:customStyle="1" w:styleId="xl77">
    <w:name w:val="xl77"/>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8"/>
      <w:szCs w:val="18"/>
    </w:rPr>
  </w:style>
  <w:style w:type="paragraph" w:customStyle="1" w:styleId="xl78">
    <w:name w:val="xl78"/>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18"/>
      <w:szCs w:val="18"/>
    </w:rPr>
  </w:style>
  <w:style w:type="paragraph" w:customStyle="1" w:styleId="xl79">
    <w:name w:val="xl79"/>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18"/>
      <w:szCs w:val="18"/>
    </w:rPr>
  </w:style>
  <w:style w:type="paragraph" w:customStyle="1" w:styleId="xl80">
    <w:name w:val="xl80"/>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rPr>
  </w:style>
  <w:style w:type="paragraph" w:customStyle="1" w:styleId="xl81">
    <w:name w:val="xl81"/>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rPr>
  </w:style>
  <w:style w:type="paragraph" w:customStyle="1" w:styleId="xl82">
    <w:name w:val="xl82"/>
    <w:basedOn w:val="Normal"/>
    <w:rsid w:val="00BB40E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8"/>
      <w:szCs w:val="18"/>
    </w:rPr>
  </w:style>
  <w:style w:type="paragraph" w:customStyle="1" w:styleId="xl83">
    <w:name w:val="xl83"/>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18"/>
      <w:szCs w:val="18"/>
    </w:rPr>
  </w:style>
  <w:style w:type="paragraph" w:customStyle="1" w:styleId="xl84">
    <w:name w:val="xl84"/>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18"/>
      <w:szCs w:val="18"/>
    </w:rPr>
  </w:style>
  <w:style w:type="paragraph" w:customStyle="1" w:styleId="xl85">
    <w:name w:val="xl85"/>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18"/>
      <w:szCs w:val="18"/>
    </w:rPr>
  </w:style>
  <w:style w:type="paragraph" w:customStyle="1" w:styleId="xl86">
    <w:name w:val="xl86"/>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rPr>
  </w:style>
  <w:style w:type="paragraph" w:customStyle="1" w:styleId="xl87">
    <w:name w:val="xl87"/>
    <w:basedOn w:val="Normal"/>
    <w:rsid w:val="00BB40E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8"/>
      <w:szCs w:val="18"/>
    </w:rPr>
  </w:style>
  <w:style w:type="paragraph" w:customStyle="1" w:styleId="xl88">
    <w:name w:val="xl88"/>
    <w:basedOn w:val="Normal"/>
    <w:rsid w:val="00BB40E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rPr>
  </w:style>
  <w:style w:type="paragraph" w:styleId="Revision">
    <w:name w:val="Revision"/>
    <w:hidden/>
    <w:uiPriority w:val="99"/>
    <w:semiHidden/>
    <w:rsid w:val="00B871C8"/>
    <w:pPr>
      <w:spacing w:after="0" w:line="240" w:lineRule="auto"/>
    </w:pPr>
    <w:rPr>
      <w:rFonts w:ascii="Calibri" w:eastAsia="Calibri" w:hAnsi="Calibri" w:cs="Times New Roman"/>
      <w:sz w:val="22"/>
    </w:rPr>
  </w:style>
  <w:style w:type="character" w:styleId="CommentReference">
    <w:name w:val="annotation reference"/>
    <w:basedOn w:val="DefaultParagraphFont"/>
    <w:uiPriority w:val="99"/>
    <w:semiHidden/>
    <w:unhideWhenUsed/>
    <w:rsid w:val="005C48AD"/>
    <w:rPr>
      <w:sz w:val="16"/>
      <w:szCs w:val="16"/>
    </w:rPr>
  </w:style>
  <w:style w:type="paragraph" w:styleId="CommentText">
    <w:name w:val="annotation text"/>
    <w:basedOn w:val="Normal"/>
    <w:link w:val="CommentTextChar"/>
    <w:uiPriority w:val="99"/>
    <w:semiHidden/>
    <w:unhideWhenUsed/>
    <w:rsid w:val="005C48AD"/>
    <w:pPr>
      <w:spacing w:line="240" w:lineRule="auto"/>
    </w:pPr>
    <w:rPr>
      <w:sz w:val="20"/>
      <w:szCs w:val="20"/>
    </w:rPr>
  </w:style>
  <w:style w:type="character" w:customStyle="1" w:styleId="CommentTextChar">
    <w:name w:val="Comment Text Char"/>
    <w:basedOn w:val="DefaultParagraphFont"/>
    <w:link w:val="CommentText"/>
    <w:uiPriority w:val="99"/>
    <w:semiHidden/>
    <w:rsid w:val="005C48A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C48AD"/>
    <w:rPr>
      <w:b/>
      <w:bCs/>
    </w:rPr>
  </w:style>
  <w:style w:type="character" w:customStyle="1" w:styleId="CommentSubjectChar">
    <w:name w:val="Comment Subject Char"/>
    <w:basedOn w:val="CommentTextChar"/>
    <w:link w:val="CommentSubject"/>
    <w:uiPriority w:val="99"/>
    <w:semiHidden/>
    <w:rsid w:val="005C48AD"/>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070">
      <w:bodyDiv w:val="1"/>
      <w:marLeft w:val="0"/>
      <w:marRight w:val="0"/>
      <w:marTop w:val="0"/>
      <w:marBottom w:val="0"/>
      <w:divBdr>
        <w:top w:val="none" w:sz="0" w:space="0" w:color="auto"/>
        <w:left w:val="none" w:sz="0" w:space="0" w:color="auto"/>
        <w:bottom w:val="none" w:sz="0" w:space="0" w:color="auto"/>
        <w:right w:val="none" w:sz="0" w:space="0" w:color="auto"/>
      </w:divBdr>
    </w:div>
    <w:div w:id="63376742">
      <w:bodyDiv w:val="1"/>
      <w:marLeft w:val="0"/>
      <w:marRight w:val="0"/>
      <w:marTop w:val="0"/>
      <w:marBottom w:val="0"/>
      <w:divBdr>
        <w:top w:val="none" w:sz="0" w:space="0" w:color="auto"/>
        <w:left w:val="none" w:sz="0" w:space="0" w:color="auto"/>
        <w:bottom w:val="none" w:sz="0" w:space="0" w:color="auto"/>
        <w:right w:val="none" w:sz="0" w:space="0" w:color="auto"/>
      </w:divBdr>
    </w:div>
    <w:div w:id="283004475">
      <w:bodyDiv w:val="1"/>
      <w:marLeft w:val="0"/>
      <w:marRight w:val="0"/>
      <w:marTop w:val="0"/>
      <w:marBottom w:val="0"/>
      <w:divBdr>
        <w:top w:val="none" w:sz="0" w:space="0" w:color="auto"/>
        <w:left w:val="none" w:sz="0" w:space="0" w:color="auto"/>
        <w:bottom w:val="none" w:sz="0" w:space="0" w:color="auto"/>
        <w:right w:val="none" w:sz="0" w:space="0" w:color="auto"/>
      </w:divBdr>
    </w:div>
    <w:div w:id="444931164">
      <w:bodyDiv w:val="1"/>
      <w:marLeft w:val="0"/>
      <w:marRight w:val="0"/>
      <w:marTop w:val="0"/>
      <w:marBottom w:val="0"/>
      <w:divBdr>
        <w:top w:val="none" w:sz="0" w:space="0" w:color="auto"/>
        <w:left w:val="none" w:sz="0" w:space="0" w:color="auto"/>
        <w:bottom w:val="none" w:sz="0" w:space="0" w:color="auto"/>
        <w:right w:val="none" w:sz="0" w:space="0" w:color="auto"/>
      </w:divBdr>
    </w:div>
    <w:div w:id="658726280">
      <w:bodyDiv w:val="1"/>
      <w:marLeft w:val="0"/>
      <w:marRight w:val="0"/>
      <w:marTop w:val="0"/>
      <w:marBottom w:val="0"/>
      <w:divBdr>
        <w:top w:val="none" w:sz="0" w:space="0" w:color="auto"/>
        <w:left w:val="none" w:sz="0" w:space="0" w:color="auto"/>
        <w:bottom w:val="none" w:sz="0" w:space="0" w:color="auto"/>
        <w:right w:val="none" w:sz="0" w:space="0" w:color="auto"/>
      </w:divBdr>
    </w:div>
    <w:div w:id="685669892">
      <w:bodyDiv w:val="1"/>
      <w:marLeft w:val="0"/>
      <w:marRight w:val="0"/>
      <w:marTop w:val="0"/>
      <w:marBottom w:val="0"/>
      <w:divBdr>
        <w:top w:val="none" w:sz="0" w:space="0" w:color="auto"/>
        <w:left w:val="none" w:sz="0" w:space="0" w:color="auto"/>
        <w:bottom w:val="none" w:sz="0" w:space="0" w:color="auto"/>
        <w:right w:val="none" w:sz="0" w:space="0" w:color="auto"/>
      </w:divBdr>
    </w:div>
    <w:div w:id="689843307">
      <w:bodyDiv w:val="1"/>
      <w:marLeft w:val="0"/>
      <w:marRight w:val="0"/>
      <w:marTop w:val="0"/>
      <w:marBottom w:val="0"/>
      <w:divBdr>
        <w:top w:val="none" w:sz="0" w:space="0" w:color="auto"/>
        <w:left w:val="none" w:sz="0" w:space="0" w:color="auto"/>
        <w:bottom w:val="none" w:sz="0" w:space="0" w:color="auto"/>
        <w:right w:val="none" w:sz="0" w:space="0" w:color="auto"/>
      </w:divBdr>
    </w:div>
    <w:div w:id="765230887">
      <w:bodyDiv w:val="1"/>
      <w:marLeft w:val="0"/>
      <w:marRight w:val="0"/>
      <w:marTop w:val="0"/>
      <w:marBottom w:val="0"/>
      <w:divBdr>
        <w:top w:val="none" w:sz="0" w:space="0" w:color="auto"/>
        <w:left w:val="none" w:sz="0" w:space="0" w:color="auto"/>
        <w:bottom w:val="none" w:sz="0" w:space="0" w:color="auto"/>
        <w:right w:val="none" w:sz="0" w:space="0" w:color="auto"/>
      </w:divBdr>
    </w:div>
    <w:div w:id="1170868938">
      <w:bodyDiv w:val="1"/>
      <w:marLeft w:val="0"/>
      <w:marRight w:val="0"/>
      <w:marTop w:val="0"/>
      <w:marBottom w:val="0"/>
      <w:divBdr>
        <w:top w:val="none" w:sz="0" w:space="0" w:color="auto"/>
        <w:left w:val="none" w:sz="0" w:space="0" w:color="auto"/>
        <w:bottom w:val="none" w:sz="0" w:space="0" w:color="auto"/>
        <w:right w:val="none" w:sz="0" w:space="0" w:color="auto"/>
      </w:divBdr>
    </w:div>
    <w:div w:id="1410272141">
      <w:bodyDiv w:val="1"/>
      <w:marLeft w:val="0"/>
      <w:marRight w:val="0"/>
      <w:marTop w:val="0"/>
      <w:marBottom w:val="0"/>
      <w:divBdr>
        <w:top w:val="none" w:sz="0" w:space="0" w:color="auto"/>
        <w:left w:val="none" w:sz="0" w:space="0" w:color="auto"/>
        <w:bottom w:val="none" w:sz="0" w:space="0" w:color="auto"/>
        <w:right w:val="none" w:sz="0" w:space="0" w:color="auto"/>
      </w:divBdr>
    </w:div>
    <w:div w:id="1488209668">
      <w:bodyDiv w:val="1"/>
      <w:marLeft w:val="0"/>
      <w:marRight w:val="0"/>
      <w:marTop w:val="0"/>
      <w:marBottom w:val="0"/>
      <w:divBdr>
        <w:top w:val="none" w:sz="0" w:space="0" w:color="auto"/>
        <w:left w:val="none" w:sz="0" w:space="0" w:color="auto"/>
        <w:bottom w:val="none" w:sz="0" w:space="0" w:color="auto"/>
        <w:right w:val="none" w:sz="0" w:space="0" w:color="auto"/>
      </w:divBdr>
    </w:div>
    <w:div w:id="1894389891">
      <w:bodyDiv w:val="1"/>
      <w:marLeft w:val="0"/>
      <w:marRight w:val="0"/>
      <w:marTop w:val="0"/>
      <w:marBottom w:val="0"/>
      <w:divBdr>
        <w:top w:val="none" w:sz="0" w:space="0" w:color="auto"/>
        <w:left w:val="none" w:sz="0" w:space="0" w:color="auto"/>
        <w:bottom w:val="none" w:sz="0" w:space="0" w:color="auto"/>
        <w:right w:val="none" w:sz="0" w:space="0" w:color="auto"/>
      </w:divBdr>
    </w:div>
    <w:div w:id="213189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i="0" u="none" strike="noStrike" baseline="0">
                <a:solidFill>
                  <a:schemeClr val="tx1"/>
                </a:solidFill>
                <a:effectLst/>
                <a:latin typeface="Times New Roman" panose="02020603050405020304" pitchFamily="18" charset="0"/>
                <a:cs typeface="Times New Roman" panose="02020603050405020304" pitchFamily="18" charset="0"/>
              </a:rPr>
              <a:t>Số người hưởng và số tiền hưởng BHXH một lần</a:t>
            </a:r>
          </a:p>
          <a:p>
            <a:pPr>
              <a:defRPr/>
            </a:pPr>
            <a:r>
              <a:rPr lang="en-US" sz="1200" b="1" i="0" u="none" strike="noStrike" baseline="0">
                <a:solidFill>
                  <a:schemeClr val="tx1"/>
                </a:solidFill>
                <a:effectLst/>
                <a:latin typeface="Times New Roman" panose="02020603050405020304" pitchFamily="18" charset="0"/>
                <a:cs typeface="Times New Roman" panose="02020603050405020304" pitchFamily="18" charset="0"/>
              </a:rPr>
              <a:t> giai đoạn 2016 - 2021 </a:t>
            </a:r>
            <a:endParaRPr lang="en-US" sz="1200" b="1">
              <a:solidFill>
                <a:schemeClr val="tx1"/>
              </a:solidFill>
              <a:latin typeface="Times New Roman" panose="02020603050405020304" pitchFamily="18" charset="0"/>
              <a:cs typeface="Times New Roman" panose="02020603050405020304" pitchFamily="18" charset="0"/>
            </a:endParaRPr>
          </a:p>
        </c:rich>
      </c:tx>
      <c:layout>
        <c:manualLayout>
          <c:xMode val="edge"/>
          <c:yMode val="edge"/>
          <c:x val="0.23176035151045427"/>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065224792347738"/>
          <c:y val="0.17777777777777778"/>
          <c:w val="0.78645252347620098"/>
          <c:h val="0.59968638535567664"/>
        </c:manualLayout>
      </c:layout>
      <c:barChart>
        <c:barDir val="col"/>
        <c:grouping val="clustered"/>
        <c:varyColors val="0"/>
        <c:ser>
          <c:idx val="0"/>
          <c:order val="0"/>
          <c:tx>
            <c:strRef>
              <c:f>Sheet1!$B$2</c:f>
              <c:strCache>
                <c:ptCount val="1"/>
                <c:pt idx="0">
                  <c:v>Số nam giới</c:v>
                </c:pt>
              </c:strCache>
            </c:strRef>
          </c:tx>
          <c:spPr>
            <a:solidFill>
              <a:schemeClr val="accent1"/>
            </a:solidFill>
            <a:ln>
              <a:noFill/>
            </a:ln>
            <a:effectLst/>
          </c:spPr>
          <c:invertIfNegative val="0"/>
          <c:cat>
            <c:numRef>
              <c:f>Sheet1!$A$3:$A$9</c:f>
              <c:numCache>
                <c:formatCode>General</c:formatCode>
                <c:ptCount val="7"/>
                <c:pt idx="0">
                  <c:v>2016</c:v>
                </c:pt>
                <c:pt idx="1">
                  <c:v>2017</c:v>
                </c:pt>
                <c:pt idx="2">
                  <c:v>2018</c:v>
                </c:pt>
                <c:pt idx="3">
                  <c:v>2019</c:v>
                </c:pt>
                <c:pt idx="4">
                  <c:v>2020</c:v>
                </c:pt>
                <c:pt idx="5">
                  <c:v>2021</c:v>
                </c:pt>
                <c:pt idx="6">
                  <c:v>2022</c:v>
                </c:pt>
              </c:numCache>
            </c:numRef>
          </c:cat>
          <c:val>
            <c:numRef>
              <c:f>Sheet1!$B$3:$B$9</c:f>
              <c:numCache>
                <c:formatCode>_-* #,##0_-;\-* #,##0_-;_-* "-"??_-;_-@_-</c:formatCode>
                <c:ptCount val="7"/>
                <c:pt idx="0">
                  <c:v>221605</c:v>
                </c:pt>
                <c:pt idx="1">
                  <c:v>252240</c:v>
                </c:pt>
                <c:pt idx="2">
                  <c:v>306223</c:v>
                </c:pt>
                <c:pt idx="3">
                  <c:v>320712</c:v>
                </c:pt>
                <c:pt idx="4">
                  <c:v>347524</c:v>
                </c:pt>
                <c:pt idx="5" formatCode="#,##0">
                  <c:v>384385</c:v>
                </c:pt>
                <c:pt idx="6">
                  <c:v>401087</c:v>
                </c:pt>
              </c:numCache>
            </c:numRef>
          </c:val>
          <c:extLst xmlns:c16r2="http://schemas.microsoft.com/office/drawing/2015/06/chart">
            <c:ext xmlns:c16="http://schemas.microsoft.com/office/drawing/2014/chart" uri="{C3380CC4-5D6E-409C-BE32-E72D297353CC}">
              <c16:uniqueId val="{00000000-D64F-4F3B-83B7-F461E095ECC5}"/>
            </c:ext>
          </c:extLst>
        </c:ser>
        <c:ser>
          <c:idx val="1"/>
          <c:order val="1"/>
          <c:tx>
            <c:strRef>
              <c:f>Sheet1!$C$2</c:f>
              <c:strCache>
                <c:ptCount val="1"/>
                <c:pt idx="0">
                  <c:v>Số nữ giới</c:v>
                </c:pt>
              </c:strCache>
            </c:strRef>
          </c:tx>
          <c:spPr>
            <a:solidFill>
              <a:schemeClr val="accent2"/>
            </a:solidFill>
            <a:ln>
              <a:noFill/>
            </a:ln>
            <a:effectLst/>
          </c:spPr>
          <c:invertIfNegative val="0"/>
          <c:cat>
            <c:numRef>
              <c:f>Sheet1!$A$3:$A$9</c:f>
              <c:numCache>
                <c:formatCode>General</c:formatCode>
                <c:ptCount val="7"/>
                <c:pt idx="0">
                  <c:v>2016</c:v>
                </c:pt>
                <c:pt idx="1">
                  <c:v>2017</c:v>
                </c:pt>
                <c:pt idx="2">
                  <c:v>2018</c:v>
                </c:pt>
                <c:pt idx="3">
                  <c:v>2019</c:v>
                </c:pt>
                <c:pt idx="4">
                  <c:v>2020</c:v>
                </c:pt>
                <c:pt idx="5">
                  <c:v>2021</c:v>
                </c:pt>
                <c:pt idx="6">
                  <c:v>2022</c:v>
                </c:pt>
              </c:numCache>
            </c:numRef>
          </c:cat>
          <c:val>
            <c:numRef>
              <c:f>Sheet1!$C$3:$C$9</c:f>
              <c:numCache>
                <c:formatCode>_-* #,##0_-;\-* #,##0_-;_-* "-"??_-;_-@_-</c:formatCode>
                <c:ptCount val="7"/>
                <c:pt idx="0">
                  <c:v>276630</c:v>
                </c:pt>
                <c:pt idx="1">
                  <c:v>307268</c:v>
                </c:pt>
                <c:pt idx="2">
                  <c:v>360275</c:v>
                </c:pt>
                <c:pt idx="3">
                  <c:v>386480</c:v>
                </c:pt>
                <c:pt idx="4">
                  <c:v>413579</c:v>
                </c:pt>
                <c:pt idx="5" formatCode="#,##0">
                  <c:v>478874</c:v>
                </c:pt>
                <c:pt idx="6" formatCode="#,##0">
                  <c:v>496400</c:v>
                </c:pt>
              </c:numCache>
            </c:numRef>
          </c:val>
          <c:extLst xmlns:c16r2="http://schemas.microsoft.com/office/drawing/2015/06/chart">
            <c:ext xmlns:c16="http://schemas.microsoft.com/office/drawing/2014/chart" uri="{C3380CC4-5D6E-409C-BE32-E72D297353CC}">
              <c16:uniqueId val="{00000001-D64F-4F3B-83B7-F461E095ECC5}"/>
            </c:ext>
          </c:extLst>
        </c:ser>
        <c:dLbls>
          <c:showLegendKey val="0"/>
          <c:showVal val="0"/>
          <c:showCatName val="0"/>
          <c:showSerName val="0"/>
          <c:showPercent val="0"/>
          <c:showBubbleSize val="0"/>
        </c:dLbls>
        <c:gapWidth val="269"/>
        <c:axId val="-1081557136"/>
        <c:axId val="-1394403024"/>
      </c:barChart>
      <c:lineChart>
        <c:grouping val="standard"/>
        <c:varyColors val="0"/>
        <c:ser>
          <c:idx val="2"/>
          <c:order val="2"/>
          <c:tx>
            <c:strRef>
              <c:f>Sheet1!$D$2</c:f>
              <c:strCache>
                <c:ptCount val="1"/>
                <c:pt idx="0">
                  <c:v>Số tiền hưởng của nam giới</c:v>
                </c:pt>
              </c:strCache>
            </c:strRef>
          </c:tx>
          <c:spPr>
            <a:ln w="28575" cap="rnd">
              <a:solidFill>
                <a:schemeClr val="accent3"/>
              </a:solidFill>
              <a:round/>
            </a:ln>
            <a:effectLst/>
          </c:spPr>
          <c:marker>
            <c:symbol val="none"/>
          </c:marker>
          <c:cat>
            <c:numRef>
              <c:f>Sheet1!$A$3:$A$9</c:f>
              <c:numCache>
                <c:formatCode>General</c:formatCode>
                <c:ptCount val="7"/>
                <c:pt idx="0">
                  <c:v>2016</c:v>
                </c:pt>
                <c:pt idx="1">
                  <c:v>2017</c:v>
                </c:pt>
                <c:pt idx="2">
                  <c:v>2018</c:v>
                </c:pt>
                <c:pt idx="3">
                  <c:v>2019</c:v>
                </c:pt>
                <c:pt idx="4">
                  <c:v>2020</c:v>
                </c:pt>
                <c:pt idx="5">
                  <c:v>2021</c:v>
                </c:pt>
                <c:pt idx="6">
                  <c:v>2022</c:v>
                </c:pt>
              </c:numCache>
            </c:numRef>
          </c:cat>
          <c:val>
            <c:numRef>
              <c:f>Sheet1!$D$3:$D$9</c:f>
              <c:numCache>
                <c:formatCode>_-* #,##0_-;\-* #,##0_-;_-* "-"??_-;_-@_-</c:formatCode>
                <c:ptCount val="7"/>
                <c:pt idx="0">
                  <c:v>5057</c:v>
                </c:pt>
                <c:pt idx="1">
                  <c:v>6801</c:v>
                </c:pt>
                <c:pt idx="2">
                  <c:v>9452</c:v>
                </c:pt>
                <c:pt idx="3">
                  <c:v>11376</c:v>
                </c:pt>
                <c:pt idx="4">
                  <c:v>13176</c:v>
                </c:pt>
                <c:pt idx="5" formatCode="#,##0">
                  <c:v>15506</c:v>
                </c:pt>
              </c:numCache>
            </c:numRef>
          </c:val>
          <c:smooth val="0"/>
          <c:extLst xmlns:c16r2="http://schemas.microsoft.com/office/drawing/2015/06/chart">
            <c:ext xmlns:c16="http://schemas.microsoft.com/office/drawing/2014/chart" uri="{C3380CC4-5D6E-409C-BE32-E72D297353CC}">
              <c16:uniqueId val="{00000002-D64F-4F3B-83B7-F461E095ECC5}"/>
            </c:ext>
          </c:extLst>
        </c:ser>
        <c:ser>
          <c:idx val="3"/>
          <c:order val="3"/>
          <c:tx>
            <c:strRef>
              <c:f>Sheet1!$E$2</c:f>
              <c:strCache>
                <c:ptCount val="1"/>
                <c:pt idx="0">
                  <c:v>Số tiền hưởng của nữ giới</c:v>
                </c:pt>
              </c:strCache>
            </c:strRef>
          </c:tx>
          <c:spPr>
            <a:ln w="28575" cap="rnd">
              <a:solidFill>
                <a:schemeClr val="accent4"/>
              </a:solidFill>
              <a:round/>
            </a:ln>
            <a:effectLst/>
          </c:spPr>
          <c:marker>
            <c:symbol val="none"/>
          </c:marker>
          <c:cat>
            <c:numRef>
              <c:f>Sheet1!$A$3:$A$9</c:f>
              <c:numCache>
                <c:formatCode>General</c:formatCode>
                <c:ptCount val="7"/>
                <c:pt idx="0">
                  <c:v>2016</c:v>
                </c:pt>
                <c:pt idx="1">
                  <c:v>2017</c:v>
                </c:pt>
                <c:pt idx="2">
                  <c:v>2018</c:v>
                </c:pt>
                <c:pt idx="3">
                  <c:v>2019</c:v>
                </c:pt>
                <c:pt idx="4">
                  <c:v>2020</c:v>
                </c:pt>
                <c:pt idx="5">
                  <c:v>2021</c:v>
                </c:pt>
                <c:pt idx="6">
                  <c:v>2022</c:v>
                </c:pt>
              </c:numCache>
            </c:numRef>
          </c:cat>
          <c:val>
            <c:numRef>
              <c:f>Sheet1!$E$3:$E$9</c:f>
              <c:numCache>
                <c:formatCode>_-* #,##0_-;\-* #,##0_-;_-* "-"??_-;_-@_-</c:formatCode>
                <c:ptCount val="7"/>
                <c:pt idx="0">
                  <c:v>5400</c:v>
                </c:pt>
                <c:pt idx="1">
                  <c:v>7113</c:v>
                </c:pt>
                <c:pt idx="2">
                  <c:v>10079</c:v>
                </c:pt>
                <c:pt idx="3">
                  <c:v>12805</c:v>
                </c:pt>
                <c:pt idx="4">
                  <c:v>15288</c:v>
                </c:pt>
                <c:pt idx="5" formatCode="#,##0">
                  <c:v>19844</c:v>
                </c:pt>
              </c:numCache>
            </c:numRef>
          </c:val>
          <c:smooth val="0"/>
          <c:extLst xmlns:c16r2="http://schemas.microsoft.com/office/drawing/2015/06/chart">
            <c:ext xmlns:c16="http://schemas.microsoft.com/office/drawing/2014/chart" uri="{C3380CC4-5D6E-409C-BE32-E72D297353CC}">
              <c16:uniqueId val="{00000003-D64F-4F3B-83B7-F461E095ECC5}"/>
            </c:ext>
          </c:extLst>
        </c:ser>
        <c:dLbls>
          <c:showLegendKey val="0"/>
          <c:showVal val="0"/>
          <c:showCatName val="0"/>
          <c:showSerName val="0"/>
          <c:showPercent val="0"/>
          <c:showBubbleSize val="0"/>
        </c:dLbls>
        <c:marker val="1"/>
        <c:smooth val="0"/>
        <c:axId val="-1394407376"/>
        <c:axId val="-1394406288"/>
      </c:lineChart>
      <c:catAx>
        <c:axId val="-1081557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94403024"/>
        <c:crosses val="autoZero"/>
        <c:auto val="1"/>
        <c:lblAlgn val="ctr"/>
        <c:lblOffset val="100"/>
        <c:noMultiLvlLbl val="0"/>
      </c:catAx>
      <c:valAx>
        <c:axId val="-1394403024"/>
        <c:scaling>
          <c:orientation val="minMax"/>
        </c:scaling>
        <c:delete val="0"/>
        <c:axPos val="l"/>
        <c:majorGridlines>
          <c:spPr>
            <a:ln w="9525" cap="flat" cmpd="sng" algn="ctr">
              <a:solidFill>
                <a:schemeClr val="tx1">
                  <a:lumMod val="15000"/>
                  <a:lumOff val="85000"/>
                </a:schemeClr>
              </a:solidFill>
              <a:round/>
            </a:ln>
            <a:effectLst/>
          </c:spPr>
        </c:majorGridlines>
        <c:numFmt formatCode="_-* #,##0_-;\-*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081557136"/>
        <c:crosses val="autoZero"/>
        <c:crossBetween val="between"/>
      </c:valAx>
      <c:valAx>
        <c:axId val="-1394406288"/>
        <c:scaling>
          <c:orientation val="minMax"/>
        </c:scaling>
        <c:delete val="0"/>
        <c:axPos val="r"/>
        <c:numFmt formatCode="_-* #,##0_-;\-*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394407376"/>
        <c:crosses val="max"/>
        <c:crossBetween val="between"/>
      </c:valAx>
      <c:catAx>
        <c:axId val="-1394407376"/>
        <c:scaling>
          <c:orientation val="minMax"/>
        </c:scaling>
        <c:delete val="1"/>
        <c:axPos val="b"/>
        <c:numFmt formatCode="General" sourceLinked="1"/>
        <c:majorTickMark val="none"/>
        <c:minorTickMark val="none"/>
        <c:tickLblPos val="nextTo"/>
        <c:crossAx val="-1394406288"/>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02FEE-B823-41AB-BE1A-19B0C013E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6104</Words>
  <Characters>34795</Characters>
  <Application>Microsoft Office Word</Application>
  <DocSecurity>0</DocSecurity>
  <Lines>289</Lines>
  <Paragraphs>81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40818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GiangPT</cp:lastModifiedBy>
  <cp:revision>2</cp:revision>
  <cp:lastPrinted>2023-02-06T04:25:00Z</cp:lastPrinted>
  <dcterms:created xsi:type="dcterms:W3CDTF">2023-05-31T03:09:00Z</dcterms:created>
  <dcterms:modified xsi:type="dcterms:W3CDTF">2023-05-31T03:09:00Z</dcterms:modified>
</cp:coreProperties>
</file>